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640FD" w14:textId="2B36CE12" w:rsidR="00B904C3" w:rsidRDefault="004A6982">
      <w:pPr>
        <w:ind w:left="-15" w:right="9" w:firstLine="0"/>
      </w:pPr>
      <w:r>
        <w:rPr>
          <w:b/>
          <w:noProof/>
          <w:spacing w:val="6"/>
        </w:rPr>
        <w:drawing>
          <wp:anchor distT="0" distB="0" distL="114300" distR="114300" simplePos="0" relativeHeight="251659264" behindDoc="0" locked="0" layoutInCell="1" allowOverlap="1" wp14:anchorId="7E156D3D" wp14:editId="2FFBF343">
            <wp:simplePos x="0" y="0"/>
            <wp:positionH relativeFrom="margin">
              <wp:posOffset>-320675</wp:posOffset>
            </wp:positionH>
            <wp:positionV relativeFrom="paragraph">
              <wp:posOffset>-716280</wp:posOffset>
            </wp:positionV>
            <wp:extent cx="6385560" cy="523875"/>
            <wp:effectExtent l="0" t="0" r="0" b="9525"/>
            <wp:wrapNone/>
            <wp:docPr id="1951831546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556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Załącznik nr 3 do Regulaminu rekrutacji i uczestnictwa w Projekcie:  </w:t>
      </w:r>
    </w:p>
    <w:p w14:paraId="06581A3B" w14:textId="4FEF63EA" w:rsidR="00B904C3" w:rsidRDefault="004A6982">
      <w:pPr>
        <w:spacing w:after="0"/>
        <w:ind w:left="-15" w:right="9" w:firstLine="0"/>
      </w:pPr>
      <w:r>
        <w:t xml:space="preserve">„Przepis na rozwój – Akademia HR”  </w:t>
      </w:r>
    </w:p>
    <w:p w14:paraId="7CF307B2" w14:textId="06DB6ED0" w:rsidR="00B904C3" w:rsidRDefault="004A6982">
      <w:pPr>
        <w:spacing w:after="187"/>
        <w:ind w:left="-15" w:right="6250" w:firstLine="0"/>
      </w:pPr>
      <w:r>
        <w:t xml:space="preserve">Nr FERS.01.03-IP.09-0057/23  </w:t>
      </w:r>
    </w:p>
    <w:p w14:paraId="127B35B2" w14:textId="77777777" w:rsidR="00B904C3" w:rsidRDefault="004A6982">
      <w:pPr>
        <w:spacing w:after="303" w:line="259" w:lineRule="auto"/>
        <w:ind w:left="0" w:firstLine="0"/>
        <w:jc w:val="left"/>
      </w:pPr>
      <w:r>
        <w:t xml:space="preserve"> </w:t>
      </w:r>
      <w:r>
        <w:tab/>
        <w:t xml:space="preserve"> </w:t>
      </w:r>
    </w:p>
    <w:p w14:paraId="1BC7B539" w14:textId="77777777" w:rsidR="00B904C3" w:rsidRDefault="004A6982">
      <w:pPr>
        <w:spacing w:after="227" w:line="289" w:lineRule="auto"/>
        <w:ind w:left="-15" w:right="856" w:firstLine="925"/>
      </w:pPr>
      <w:r>
        <w:rPr>
          <w:b/>
        </w:rPr>
        <w:t xml:space="preserve">MINIMALNE WYMAGANIA DOTYCZĄCE USŁUG ROZWOJOWYCH </w:t>
      </w:r>
      <w:r>
        <w:t xml:space="preserve"> </w:t>
      </w:r>
    </w:p>
    <w:p w14:paraId="57801117" w14:textId="77777777" w:rsidR="00B904C3" w:rsidRDefault="004A6982">
      <w:pPr>
        <w:spacing w:after="184" w:line="289" w:lineRule="auto"/>
        <w:ind w:left="-5" w:right="6" w:hanging="10"/>
      </w:pPr>
      <w:r>
        <w:rPr>
          <w:b/>
        </w:rPr>
        <w:t xml:space="preserve">Usługi rozwojowe realizowane przez BUR powinny być zgodne z obowiązującymi przepisami prawa, aktualnym regulaminem BUR i aktualnymi wytycznymi BUR dotyczącymi świadczenia usług realizowanych zdalnie (jeśli dotyczy). </w:t>
      </w:r>
    </w:p>
    <w:p w14:paraId="671C80D6" w14:textId="77777777" w:rsidR="00B904C3" w:rsidRDefault="004A6982">
      <w:pPr>
        <w:spacing w:after="246" w:line="289" w:lineRule="auto"/>
        <w:ind w:left="-5" w:right="6" w:hanging="10"/>
      </w:pPr>
      <w:r>
        <w:rPr>
          <w:b/>
        </w:rPr>
        <w:t>Przedsiębiorcy biorący udział w projekcie po otrzymaniu od Operatora indywidualnego numeru ID Wsparcia samodzielnie wybierają usługi rozwojowe, które odpowiadają na ich potrzeby rozwojowe, wynikające z zatwierdzonej przez Operatora autodiagnozy, a także wpisują się w OKHR. Usługi te mogą prowadzić do nabycia kwalifikacji, w tym kwalifikacji wpisanych do Zintegrowanego Rejestru Kwalifikacji</w:t>
      </w:r>
      <w:r>
        <w:rPr>
          <w:b/>
          <w:vertAlign w:val="superscript"/>
        </w:rPr>
        <w:footnoteReference w:id="1"/>
      </w:r>
      <w:r>
        <w:rPr>
          <w:b/>
        </w:rPr>
        <w:t xml:space="preserve">.  </w:t>
      </w:r>
    </w:p>
    <w:p w14:paraId="4B8777A5" w14:textId="77777777" w:rsidR="00B904C3" w:rsidRDefault="004A6982">
      <w:pPr>
        <w:ind w:left="-15" w:right="9" w:firstLine="0"/>
      </w:pPr>
      <w:r>
        <w:rPr>
          <w:b/>
        </w:rPr>
        <w:t xml:space="preserve">Aby otrzymać refundację w ramach projektu „Przepis na rozwój – Akademia HR” usługi rozwojowe w BUR powinny spełniać co najmniej następujące warunki: </w:t>
      </w:r>
      <w:r>
        <w:t xml:space="preserve">1. Karta usługi rozwojowej, w szczególności w polach dotyczących opisu głównego celu usługi, ramowego programu usługi, efektów uczenia się, sposobu weryfikacji osiągnięcia efektów uczenia się, powinna zawierać opis szczegółowo odnoszący się do OKHR, tak by można było: </w:t>
      </w:r>
    </w:p>
    <w:p w14:paraId="2705CFFB" w14:textId="77777777" w:rsidR="00B904C3" w:rsidRDefault="004A6982">
      <w:pPr>
        <w:numPr>
          <w:ilvl w:val="0"/>
          <w:numId w:val="1"/>
        </w:numPr>
        <w:ind w:right="9" w:hanging="420"/>
      </w:pPr>
      <w:r>
        <w:t xml:space="preserve">określić kompetencje rozwijane w ramach danej usługi; </w:t>
      </w:r>
    </w:p>
    <w:p w14:paraId="25089E43" w14:textId="77777777" w:rsidR="00B904C3" w:rsidRDefault="004A6982">
      <w:pPr>
        <w:numPr>
          <w:ilvl w:val="0"/>
          <w:numId w:val="1"/>
        </w:numPr>
        <w:ind w:right="9" w:hanging="420"/>
      </w:pPr>
      <w:r>
        <w:t xml:space="preserve">ocenić, czy wymienione w karcie usługi efekty uczenia się mają swoje odzwierciedlenie w programie usługi rozwojowej, tj. są możliwe do zrealizowania na podstawie programu tej usługi; </w:t>
      </w:r>
    </w:p>
    <w:p w14:paraId="56AC2E28" w14:textId="77777777" w:rsidR="00B904C3" w:rsidRDefault="004A6982">
      <w:pPr>
        <w:numPr>
          <w:ilvl w:val="0"/>
          <w:numId w:val="2"/>
        </w:numPr>
        <w:ind w:right="9" w:hanging="433"/>
      </w:pPr>
      <w:r>
        <w:t xml:space="preserve">Usługi rozwojowe realizowane przez BUR powinny być zgodne z obowiązującymi przepisami prawa oraz aktualnym Regulaminem BUR. </w:t>
      </w:r>
    </w:p>
    <w:p w14:paraId="267388C1" w14:textId="77777777" w:rsidR="00B904C3" w:rsidRDefault="004A6982">
      <w:pPr>
        <w:numPr>
          <w:ilvl w:val="0"/>
          <w:numId w:val="2"/>
        </w:numPr>
        <w:ind w:right="9" w:hanging="433"/>
      </w:pPr>
      <w:r>
        <w:t xml:space="preserve">Jeden dzień szkoleniowy nie może być dłuższy niż 8 godzin zegarowych (wraz z przerwami). Uczestnicy/Uczestniczki w trakcie każdego dnia szkoleniowego trwającego więcej niż 4 godziny mają prawo do co najmniej 1 przerwy, trwającej co najmniej 15 minut.  </w:t>
      </w:r>
    </w:p>
    <w:p w14:paraId="39520DE2" w14:textId="77777777" w:rsidR="00B904C3" w:rsidRDefault="004A6982">
      <w:pPr>
        <w:numPr>
          <w:ilvl w:val="0"/>
          <w:numId w:val="2"/>
        </w:numPr>
        <w:spacing w:after="643"/>
        <w:ind w:right="9" w:hanging="433"/>
      </w:pPr>
      <w:r>
        <w:t xml:space="preserve">Jedna godzina trwania usługi zarówno o charakterze szkoleniowym jak i o charakterze doradczym(Coaching i Mentoring) rozumiana jest jako godzina zegarowa (60 minut). </w:t>
      </w:r>
    </w:p>
    <w:p w14:paraId="1BEB72AB" w14:textId="7BC08CD6" w:rsidR="00B904C3" w:rsidRDefault="004A6982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329ABC40" w14:textId="3863C8DC" w:rsidR="00B904C3" w:rsidRDefault="004A6982">
      <w:pPr>
        <w:numPr>
          <w:ilvl w:val="0"/>
          <w:numId w:val="2"/>
        </w:numPr>
        <w:ind w:right="9" w:hanging="433"/>
      </w:pPr>
      <w:r>
        <w:rPr>
          <w:b/>
          <w:noProof/>
          <w:spacing w:val="6"/>
        </w:rPr>
        <w:lastRenderedPageBreak/>
        <w:drawing>
          <wp:anchor distT="0" distB="0" distL="114300" distR="114300" simplePos="0" relativeHeight="251661312" behindDoc="0" locked="0" layoutInCell="1" allowOverlap="1" wp14:anchorId="7DFBF9EB" wp14:editId="03D8E728">
            <wp:simplePos x="0" y="0"/>
            <wp:positionH relativeFrom="margin">
              <wp:posOffset>-312420</wp:posOffset>
            </wp:positionH>
            <wp:positionV relativeFrom="paragraph">
              <wp:posOffset>-714375</wp:posOffset>
            </wp:positionV>
            <wp:extent cx="6385560" cy="523875"/>
            <wp:effectExtent l="0" t="0" r="0" b="9525"/>
            <wp:wrapNone/>
            <wp:docPr id="1832411519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556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Liczebność grupy szkoleniowej określonej w karcie usługi nie może być większa niż 16 osób</w:t>
      </w:r>
      <w:r>
        <w:rPr>
          <w:vertAlign w:val="superscript"/>
        </w:rPr>
        <w:footnoteReference w:id="2"/>
      </w:r>
      <w:r>
        <w:t xml:space="preserve">. W przypadku przekroczenia maksymalnej liczebności grupy szkoleniowej, wydatki dotyczące tego szkolenia nie będą kwalifikowalne. </w:t>
      </w:r>
    </w:p>
    <w:p w14:paraId="7534AA94" w14:textId="77777777" w:rsidR="00B904C3" w:rsidRDefault="004A6982">
      <w:pPr>
        <w:numPr>
          <w:ilvl w:val="0"/>
          <w:numId w:val="2"/>
        </w:numPr>
        <w:spacing w:after="4" w:line="301" w:lineRule="auto"/>
        <w:ind w:right="9" w:hanging="433"/>
      </w:pPr>
      <w:r>
        <w:t>Coaching i mentoring powinny być co do zasady realizowane jako usługi indywidualne. W wyjątkowych sytuacjach dopuszcza się, aby liczebność grupy usługi doradczej tj. coaching i mentoring określonej w karcie usługi wynosiła maksymalnie 4 osoby. Zagadnienie liczby uczestników należy bardzo starannie rozważyć i uzasadnić zasadność mentoringu i coachingu grupowego w karcie usługi. Musi to też wynikać z autodiagnozy. Nie można łączyć w ramach jednej usługi osób z kilku przedsiębiorstw. W przypadku realizacji usł</w:t>
      </w:r>
      <w:r>
        <w:t xml:space="preserve">ugi doradczej niezgodnie z powyższym opisem, w tym przekroczenia maksymalnej liczebności grupy doradczej, wydatki dotyczące tej usługi nie będą kwalifikowalne. </w:t>
      </w:r>
    </w:p>
    <w:p w14:paraId="0080ECFA" w14:textId="77777777" w:rsidR="00B904C3" w:rsidRDefault="004A6982">
      <w:pPr>
        <w:numPr>
          <w:ilvl w:val="0"/>
          <w:numId w:val="2"/>
        </w:numPr>
        <w:spacing w:after="4" w:line="301" w:lineRule="auto"/>
        <w:ind w:right="9" w:hanging="433"/>
      </w:pPr>
      <w:r>
        <w:t xml:space="preserve">Po zakończeniu udziału w usłudze rozwojowej (szkoleniu lub doradztwie), Uczestnik/Uczestniczka otrzyma odpowiednie zaświadczenie/certyfikat o jej ukończeniu oraz dokona oceny usługi w BUR.  </w:t>
      </w:r>
    </w:p>
    <w:p w14:paraId="6D0FD403" w14:textId="77777777" w:rsidR="00B904C3" w:rsidRDefault="004A6982">
      <w:pPr>
        <w:numPr>
          <w:ilvl w:val="0"/>
          <w:numId w:val="2"/>
        </w:numPr>
        <w:spacing w:after="57"/>
        <w:ind w:right="9" w:hanging="433"/>
      </w:pPr>
      <w:r>
        <w:t>Warunkiem otrzymania refundacji jest uczestnictwo w co najmniej 80% zajęć usługi rozwojowej oraz zaliczenie zajęć, np. w formie testu wiedzy, testu kompetencyjnego, zadań praktycznych do wykonania lub innych form zaliczenia zajęć, przy czym należy pamiętać o zachowaniu rozdzielności funkcji pomiędzy procesem kształcenia i walidacji</w:t>
      </w:r>
      <w:r>
        <w:rPr>
          <w:vertAlign w:val="superscript"/>
        </w:rPr>
        <w:footnoteReference w:id="3"/>
      </w:r>
      <w:r>
        <w:t xml:space="preserve">.  </w:t>
      </w:r>
    </w:p>
    <w:p w14:paraId="134562D7" w14:textId="77777777" w:rsidR="00B904C3" w:rsidRDefault="004A6982">
      <w:pPr>
        <w:numPr>
          <w:ilvl w:val="0"/>
          <w:numId w:val="2"/>
        </w:numPr>
        <w:ind w:right="9" w:hanging="433"/>
      </w:pPr>
      <w:r>
        <w:t xml:space="preserve">Wydatki związane z udziałem w usłudze rozwojowej osoby, która nie spełnia warunku określonego w ust. 8, nie będą kwalifikowalne. </w:t>
      </w:r>
    </w:p>
    <w:p w14:paraId="67ED98C3" w14:textId="77777777" w:rsidR="00B904C3" w:rsidRDefault="004A6982">
      <w:pPr>
        <w:numPr>
          <w:ilvl w:val="0"/>
          <w:numId w:val="2"/>
        </w:numPr>
        <w:spacing w:after="4" w:line="301" w:lineRule="auto"/>
        <w:ind w:right="9" w:hanging="433"/>
      </w:pPr>
      <w:r>
        <w:t xml:space="preserve">Prowadzone w ramach szkolenia zajęcia powinny być realizowane metodami interaktywnymi i aktywizującymi, rozumianymi jako metody umożliwiające uczenie się w oparciu o doświadczenie i pozwalające uczestnikom na ćwiczenie umiejętności. Informacje te powinny zostać wskazane w karcie usługi; </w:t>
      </w:r>
    </w:p>
    <w:p w14:paraId="210A55B2" w14:textId="77777777" w:rsidR="00B904C3" w:rsidRDefault="004A6982">
      <w:pPr>
        <w:numPr>
          <w:ilvl w:val="0"/>
          <w:numId w:val="2"/>
        </w:numPr>
        <w:ind w:right="9" w:hanging="433"/>
      </w:pPr>
      <w:r>
        <w:t>W ramach Projektu przedsiębiorcy będą mogli skorzystać z usług rozwojowych realizowanych zarówno w formie stacjonarnej jak i w zdalnej realizowanej w czasie rzeczywistym</w:t>
      </w:r>
      <w:r>
        <w:rPr>
          <w:vertAlign w:val="superscript"/>
        </w:rPr>
        <w:footnoteReference w:id="4"/>
      </w:r>
      <w:r>
        <w:t xml:space="preserve"> na warunkach określonych w Regulaminie Projektu. Przedsiębiorcy nie będą mogli skorzystać z usług świadczonych w formie zdalnej (dawniej: </w:t>
      </w:r>
      <w:proofErr w:type="spellStart"/>
      <w:r>
        <w:t>elearning</w:t>
      </w:r>
      <w:proofErr w:type="spellEnd"/>
      <w:r>
        <w:t xml:space="preserve">).  </w:t>
      </w:r>
    </w:p>
    <w:p w14:paraId="248653E0" w14:textId="6CF2AA25" w:rsidR="00B904C3" w:rsidRDefault="004A6982">
      <w:pPr>
        <w:numPr>
          <w:ilvl w:val="0"/>
          <w:numId w:val="2"/>
        </w:numPr>
        <w:spacing w:after="102"/>
        <w:ind w:right="9" w:hanging="433"/>
      </w:pPr>
      <w:r>
        <w:rPr>
          <w:b/>
          <w:noProof/>
          <w:spacing w:val="6"/>
        </w:rPr>
        <w:lastRenderedPageBreak/>
        <w:drawing>
          <wp:anchor distT="0" distB="0" distL="114300" distR="114300" simplePos="0" relativeHeight="251663360" behindDoc="0" locked="0" layoutInCell="1" allowOverlap="1" wp14:anchorId="6E2BBE29" wp14:editId="43192BE5">
            <wp:simplePos x="0" y="0"/>
            <wp:positionH relativeFrom="margin">
              <wp:posOffset>-320040</wp:posOffset>
            </wp:positionH>
            <wp:positionV relativeFrom="paragraph">
              <wp:posOffset>-711835</wp:posOffset>
            </wp:positionV>
            <wp:extent cx="6385560" cy="523875"/>
            <wp:effectExtent l="0" t="0" r="0" b="9525"/>
            <wp:wrapNone/>
            <wp:docPr id="351427744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556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Kwalifikacje i doświadczenie trenera zgłoszonego do prowadzenia zajęć powinno być adekwatne do tematyki prowadzonych zajęć i powinno być szczegółowo </w:t>
      </w:r>
    </w:p>
    <w:p w14:paraId="504C736B" w14:textId="1764DE5A" w:rsidR="00B904C3" w:rsidRDefault="004A6982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1FF4AECF" w14:textId="77777777" w:rsidR="00B904C3" w:rsidRDefault="004A6982">
      <w:pPr>
        <w:ind w:left="433" w:right="9" w:firstLine="0"/>
      </w:pPr>
      <w:r>
        <w:t xml:space="preserve">opisane w karcie usługi. Trener prowadzący zajęcia powinien mieć co najmniej 120godzinne doświadczenie w prowadzeniu szkoleń o podobnej tematyce dla osób dorosłych w ostatnich dwóch latach (24 miesiącach) wstecz od dnia rozpoczęcia szkolenia. Stosowne informacje powinny zostać umieszczone w karcie usługi. </w:t>
      </w:r>
    </w:p>
    <w:p w14:paraId="08E2F400" w14:textId="77777777" w:rsidR="00B904C3" w:rsidRDefault="004A6982">
      <w:pPr>
        <w:numPr>
          <w:ilvl w:val="0"/>
          <w:numId w:val="2"/>
        </w:numPr>
        <w:ind w:right="9" w:hanging="433"/>
      </w:pPr>
      <w:r>
        <w:t xml:space="preserve">Usługi doradcze powinny być realizowane przez doradcę posiadającego kwalifikacje i doświadczenie adekwatne do tematyki prowadzonych zajęć. Minimalne doświadczenie doradcy to co najmniej 60 godzin doradztwa w podobnym zakresie w ostatnich dwóch latach (24 miesiącach) wstecz od dnia rozpoczęcia doradztwa. Stosowne informacje powinny zostać umieszczone w karcie usługi. </w:t>
      </w:r>
    </w:p>
    <w:p w14:paraId="05B74B57" w14:textId="77777777" w:rsidR="00B904C3" w:rsidRDefault="004A6982">
      <w:pPr>
        <w:numPr>
          <w:ilvl w:val="0"/>
          <w:numId w:val="2"/>
        </w:numPr>
        <w:ind w:right="9" w:hanging="433"/>
      </w:pPr>
      <w:r>
        <w:t>Fakt uczestnictwa w każdym dniu usługi rozwojowej musi zostać potwierdzony przez uczestnika własnoręcznym podpisem złożonym na udostępnionej przez organizatora szkolenia/doradztwa liście obecności zgodnej ze wzorem stanowiącym załącznik 7 do Regulaminu rekrutacji. W przypadku usług rozwojowych w formie zdalnej, potwierdzeniem uczestnictwa będą m.in. raporty z logowania oraz dokumentacja wytworzona na zakończenie realizacji usługi (doradztwo) zgodnie ze wzorem stanowiącym załącznik nr 11 do Regulaminu rekrut</w:t>
      </w:r>
      <w:r>
        <w:t xml:space="preserve">acji, podpisana przez przedsiębiorcę i dostawcę usługi. </w:t>
      </w:r>
    </w:p>
    <w:p w14:paraId="63D209F1" w14:textId="77777777" w:rsidR="00B904C3" w:rsidRDefault="004A6982">
      <w:pPr>
        <w:numPr>
          <w:ilvl w:val="0"/>
          <w:numId w:val="2"/>
        </w:numPr>
        <w:ind w:right="9" w:hanging="433"/>
      </w:pPr>
      <w:r>
        <w:t xml:space="preserve">Usługi rozwojowe, w których uczestniczyć będą Uczestnicy/Uczestniczki projektu powinny zawierać oznaczenie, iż są realizowane w ramach projektu „Akademia HR - doskonalenie kompetencji kadry zarządzającej zasobami ludzkimi”. </w:t>
      </w:r>
    </w:p>
    <w:p w14:paraId="0BD44B61" w14:textId="77777777" w:rsidR="00B904C3" w:rsidRDefault="004A6982">
      <w:pPr>
        <w:numPr>
          <w:ilvl w:val="0"/>
          <w:numId w:val="2"/>
        </w:numPr>
        <w:spacing w:after="4" w:line="301" w:lineRule="auto"/>
        <w:ind w:right="9" w:hanging="433"/>
      </w:pPr>
      <w:r>
        <w:t xml:space="preserve">Operator może zakwestionować cenę wybranej Usługi rozwojowej opublikowanej  w BUR w przypadku, gdy rażąco odbiega ona od cen rynkowych lub jest nieadekwatna do zakresu Usług rozwojowych.  </w:t>
      </w:r>
    </w:p>
    <w:p w14:paraId="6A5C8022" w14:textId="77777777" w:rsidR="00B904C3" w:rsidRDefault="004A6982">
      <w:pPr>
        <w:spacing w:after="0" w:line="259" w:lineRule="auto"/>
        <w:ind w:left="433" w:firstLine="0"/>
        <w:jc w:val="left"/>
      </w:pPr>
      <w:r>
        <w:t xml:space="preserve"> </w:t>
      </w:r>
    </w:p>
    <w:sectPr w:rsidR="00B904C3">
      <w:headerReference w:type="even" r:id="rId8"/>
      <w:headerReference w:type="default" r:id="rId9"/>
      <w:headerReference w:type="first" r:id="rId10"/>
      <w:pgSz w:w="11904" w:h="16836"/>
      <w:pgMar w:top="1436" w:right="1022" w:bottom="1398" w:left="1021" w:header="38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92738" w14:textId="77777777" w:rsidR="004A6982" w:rsidRDefault="004A6982">
      <w:pPr>
        <w:spacing w:after="0" w:line="240" w:lineRule="auto"/>
      </w:pPr>
      <w:r>
        <w:separator/>
      </w:r>
    </w:p>
  </w:endnote>
  <w:endnote w:type="continuationSeparator" w:id="0">
    <w:p w14:paraId="4BA0DB5A" w14:textId="77777777" w:rsidR="004A6982" w:rsidRDefault="004A6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0D5F9" w14:textId="77777777" w:rsidR="00B904C3" w:rsidRDefault="004A6982">
      <w:pPr>
        <w:spacing w:after="0" w:line="295" w:lineRule="auto"/>
        <w:ind w:left="0" w:firstLine="0"/>
        <w:jc w:val="left"/>
      </w:pPr>
      <w:r>
        <w:separator/>
      </w:r>
    </w:p>
  </w:footnote>
  <w:footnote w:type="continuationSeparator" w:id="0">
    <w:p w14:paraId="2A3D50BC" w14:textId="77777777" w:rsidR="00B904C3" w:rsidRDefault="004A6982">
      <w:pPr>
        <w:spacing w:after="0" w:line="295" w:lineRule="auto"/>
        <w:ind w:left="0" w:firstLine="0"/>
        <w:jc w:val="left"/>
      </w:pPr>
      <w:r>
        <w:continuationSeparator/>
      </w:r>
    </w:p>
  </w:footnote>
  <w:footnote w:id="1">
    <w:p w14:paraId="59FD6613" w14:textId="77777777" w:rsidR="00B904C3" w:rsidRDefault="004A6982">
      <w:pPr>
        <w:pStyle w:val="footnotedescription"/>
        <w:spacing w:line="295" w:lineRule="auto"/>
      </w:pPr>
      <w:r>
        <w:rPr>
          <w:rStyle w:val="footnotemark"/>
        </w:rPr>
        <w:footnoteRef/>
      </w:r>
      <w:r>
        <w:t xml:space="preserve"> Nabycie kwalifikacji wpisanych do ZRK powinno być sprawdzone w formie walidacji oraz formalnie potwierdzone przez instytucję uprawnioną do certyfikowania. Informacje o kwalifikacjach zarejestrowanych w </w:t>
      </w:r>
    </w:p>
    <w:p w14:paraId="6941C7EF" w14:textId="77777777" w:rsidR="00B904C3" w:rsidRDefault="004A6982">
      <w:pPr>
        <w:pStyle w:val="footnotedescription"/>
      </w:pPr>
      <w:r>
        <w:t>ZRK znajdują się na stronie Zintegrowanego Rejestru Kwalifikacji: https://rejestr.kwalifikacje.gov.pl/</w:t>
      </w:r>
      <w:r>
        <w:rPr>
          <w:rFonts w:ascii="Calibri" w:eastAsia="Calibri" w:hAnsi="Calibri" w:cs="Calibri"/>
        </w:rPr>
        <w:t xml:space="preserve"> </w:t>
      </w:r>
    </w:p>
  </w:footnote>
  <w:footnote w:id="2">
    <w:p w14:paraId="1B9FFE48" w14:textId="77777777" w:rsidR="00B904C3" w:rsidRDefault="004A6982">
      <w:pPr>
        <w:pStyle w:val="footnotedescription"/>
        <w:spacing w:after="28"/>
      </w:pPr>
      <w:r>
        <w:rPr>
          <w:rStyle w:val="footnotemark"/>
        </w:rPr>
        <w:footnoteRef/>
      </w:r>
      <w:r>
        <w:t xml:space="preserve"> Nie dotyczy studiów podyplomowych</w:t>
      </w:r>
      <w:r>
        <w:rPr>
          <w:rFonts w:ascii="Calibri" w:eastAsia="Calibri" w:hAnsi="Calibri" w:cs="Calibri"/>
        </w:rPr>
        <w:t xml:space="preserve">. </w:t>
      </w:r>
    </w:p>
  </w:footnote>
  <w:footnote w:id="3">
    <w:p w14:paraId="63EADD8E" w14:textId="77777777" w:rsidR="00B904C3" w:rsidRDefault="004A6982">
      <w:pPr>
        <w:pStyle w:val="footnotedescription"/>
        <w:spacing w:after="1"/>
      </w:pPr>
      <w:r>
        <w:rPr>
          <w:rStyle w:val="footnotemark"/>
        </w:rPr>
        <w:footnoteRef/>
      </w:r>
      <w:r>
        <w:t xml:space="preserve"> Zgodnie z Wytycznymi dotyczącymi monitorowania postępu rzeczowego realizacji programów na lata 2021-</w:t>
      </w:r>
    </w:p>
    <w:p w14:paraId="444282C7" w14:textId="77777777" w:rsidR="00B904C3" w:rsidRDefault="004A6982">
      <w:pPr>
        <w:pStyle w:val="footnotedescription"/>
        <w:spacing w:line="262" w:lineRule="auto"/>
        <w:ind w:right="777"/>
        <w:jc w:val="both"/>
      </w:pPr>
      <w:r>
        <w:t>2027 (Załącznik 2 Podstawowe informacje dotyczące uzyskiwania kwalifikacji w ramach projektów współfinansowanych z EFS+) walidacja nabycia danej kompetencji może być prowadzona w instytucji szkoleniowej (u dostawcy usług) przez inną osobę aniżeli proces kształcenia.</w:t>
      </w:r>
      <w:r>
        <w:rPr>
          <w:rFonts w:ascii="Calibri" w:eastAsia="Calibri" w:hAnsi="Calibri" w:cs="Calibri"/>
        </w:rPr>
        <w:t xml:space="preserve"> </w:t>
      </w:r>
    </w:p>
  </w:footnote>
  <w:footnote w:id="4">
    <w:p w14:paraId="469FDF3D" w14:textId="77777777" w:rsidR="00B904C3" w:rsidRDefault="004A6982">
      <w:pPr>
        <w:pStyle w:val="footnotedescription"/>
        <w:spacing w:line="253" w:lineRule="auto"/>
      </w:pPr>
      <w:r>
        <w:rPr>
          <w:rStyle w:val="footnotemark"/>
        </w:rPr>
        <w:footnoteRef/>
      </w:r>
      <w:r>
        <w:t xml:space="preserve"> Usługa realizowana zdalnie w czasie rzeczywistym oznacza proces uczenia się, realizowany na odległość za pomocą połączenia internetowego, z wykorzystaniem urządzeń takich jak komputer, tablet, inne urządzenia mobilne, który odbywa się z równoczesnym udziałem zarówno uczestników, jak i eksperta czy trenera (osoby prowadzącej usługę) za pomocą komunikatora. W przypadku szkoleń liczba uczestników musi umożliwić wszystkim interaktywną swobodę udziału we wszystkich przewidzianych elementach zajęć (ćwiczenia, ro</w:t>
      </w:r>
      <w:r>
        <w:t>zmowa na żywo, chat, testy, ankiety, współdzielenie ekranu itp.). Materiały dydaktyczne mogą przybrać formę e-podręczników, plików dokumentów przygotowanych w dowolnym formacie, materiałów VOD, itp.</w:t>
      </w:r>
      <w:r>
        <w:rPr>
          <w:rFonts w:ascii="Calibri" w:eastAsia="Calibri" w:hAnsi="Calibri" w:cs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CF95E" w14:textId="77777777" w:rsidR="00B904C3" w:rsidRDefault="004A6982">
    <w:pPr>
      <w:spacing w:after="0" w:line="259" w:lineRule="auto"/>
      <w:ind w:left="-1021" w:right="187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DE2B534" wp14:editId="7D4E892B">
              <wp:simplePos x="0" y="0"/>
              <wp:positionH relativeFrom="page">
                <wp:posOffset>267335</wp:posOffset>
              </wp:positionH>
              <wp:positionV relativeFrom="page">
                <wp:posOffset>246380</wp:posOffset>
              </wp:positionV>
              <wp:extent cx="6523990" cy="593090"/>
              <wp:effectExtent l="0" t="0" r="0" b="0"/>
              <wp:wrapSquare wrapText="bothSides"/>
              <wp:docPr id="3201" name="Group 320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23990" cy="593090"/>
                        <a:chOff x="0" y="0"/>
                        <a:chExt cx="6523990" cy="593090"/>
                      </a:xfrm>
                    </wpg:grpSpPr>
                    <pic:pic xmlns:pic="http://schemas.openxmlformats.org/drawingml/2006/picture">
                      <pic:nvPicPr>
                        <pic:cNvPr id="3202" name="Picture 320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3990" cy="59309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203" name="Rectangle 3203"/>
                      <wps:cNvSpPr/>
                      <wps:spPr>
                        <a:xfrm>
                          <a:off x="381000" y="230252"/>
                          <a:ext cx="41228" cy="18580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25749A2" w14:textId="77777777" w:rsidR="00B904C3" w:rsidRDefault="004A6982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201" style="width:513.7pt;height:46.7pt;position:absolute;mso-position-horizontal-relative:page;mso-position-horizontal:absolute;margin-left:21.05pt;mso-position-vertical-relative:page;margin-top:19.4pt;" coordsize="65239,5930">
              <v:shape id="Picture 3202" style="position:absolute;width:65239;height:5930;left:0;top:0;" filled="f">
                <v:imagedata r:id="rId8"/>
              </v:shape>
              <v:rect id="Rectangle 3203" style="position:absolute;width:412;height:1858;left:3810;top:2302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w10:wrap type="squar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5D9C8" w14:textId="77777777" w:rsidR="00B904C3" w:rsidRDefault="004A6982">
    <w:pPr>
      <w:spacing w:after="0" w:line="259" w:lineRule="auto"/>
      <w:ind w:left="-1021" w:right="187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8F12B6F" wp14:editId="671C220E">
              <wp:simplePos x="0" y="0"/>
              <wp:positionH relativeFrom="page">
                <wp:posOffset>267335</wp:posOffset>
              </wp:positionH>
              <wp:positionV relativeFrom="page">
                <wp:posOffset>246380</wp:posOffset>
              </wp:positionV>
              <wp:extent cx="6523990" cy="593090"/>
              <wp:effectExtent l="0" t="0" r="0" b="0"/>
              <wp:wrapSquare wrapText="bothSides"/>
              <wp:docPr id="3194" name="Group 319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23990" cy="593090"/>
                        <a:chOff x="0" y="0"/>
                        <a:chExt cx="6523990" cy="593090"/>
                      </a:xfrm>
                    </wpg:grpSpPr>
                    <pic:pic xmlns:pic="http://schemas.openxmlformats.org/drawingml/2006/picture">
                      <pic:nvPicPr>
                        <pic:cNvPr id="3195" name="Picture 319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3990" cy="59309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196" name="Rectangle 3196"/>
                      <wps:cNvSpPr/>
                      <wps:spPr>
                        <a:xfrm>
                          <a:off x="381000" y="230252"/>
                          <a:ext cx="41228" cy="18580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1EC5861" w14:textId="77777777" w:rsidR="00B904C3" w:rsidRDefault="004A6982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94" style="width:513.7pt;height:46.7pt;position:absolute;mso-position-horizontal-relative:page;mso-position-horizontal:absolute;margin-left:21.05pt;mso-position-vertical-relative:page;margin-top:19.4pt;" coordsize="65239,5930">
              <v:shape id="Picture 3195" style="position:absolute;width:65239;height:5930;left:0;top:0;" filled="f">
                <v:imagedata r:id="rId8"/>
              </v:shape>
              <v:rect id="Rectangle 3196" style="position:absolute;width:412;height:1858;left:3810;top:2302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w10:wrap type="squar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130E5" w14:textId="77777777" w:rsidR="00B904C3" w:rsidRDefault="004A6982">
    <w:pPr>
      <w:spacing w:after="0" w:line="259" w:lineRule="auto"/>
      <w:ind w:left="-1021" w:right="187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536008" wp14:editId="4297F0CB">
              <wp:simplePos x="0" y="0"/>
              <wp:positionH relativeFrom="page">
                <wp:posOffset>267335</wp:posOffset>
              </wp:positionH>
              <wp:positionV relativeFrom="page">
                <wp:posOffset>246380</wp:posOffset>
              </wp:positionV>
              <wp:extent cx="6523990" cy="593090"/>
              <wp:effectExtent l="0" t="0" r="0" b="0"/>
              <wp:wrapSquare wrapText="bothSides"/>
              <wp:docPr id="3187" name="Group 31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23990" cy="593090"/>
                        <a:chOff x="0" y="0"/>
                        <a:chExt cx="6523990" cy="593090"/>
                      </a:xfrm>
                    </wpg:grpSpPr>
                    <pic:pic xmlns:pic="http://schemas.openxmlformats.org/drawingml/2006/picture">
                      <pic:nvPicPr>
                        <pic:cNvPr id="3188" name="Picture 318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3990" cy="59309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189" name="Rectangle 3189"/>
                      <wps:cNvSpPr/>
                      <wps:spPr>
                        <a:xfrm>
                          <a:off x="381000" y="230252"/>
                          <a:ext cx="41228" cy="18580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BED638E" w14:textId="77777777" w:rsidR="00B904C3" w:rsidRDefault="004A6982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187" style="width:513.7pt;height:46.7pt;position:absolute;mso-position-horizontal-relative:page;mso-position-horizontal:absolute;margin-left:21.05pt;mso-position-vertical-relative:page;margin-top:19.4pt;" coordsize="65239,5930">
              <v:shape id="Picture 3188" style="position:absolute;width:65239;height:5930;left:0;top:0;" filled="f">
                <v:imagedata r:id="rId8"/>
              </v:shape>
              <v:rect id="Rectangle 3189" style="position:absolute;width:412;height:1858;left:3810;top:2302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42135"/>
    <w:multiLevelType w:val="hybridMultilevel"/>
    <w:tmpl w:val="7242E410"/>
    <w:lvl w:ilvl="0" w:tplc="D6EE18B0">
      <w:start w:val="2"/>
      <w:numFmt w:val="decimal"/>
      <w:lvlText w:val="%1."/>
      <w:lvlJc w:val="left"/>
      <w:pPr>
        <w:ind w:left="4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70475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28132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502D9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6466D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4EE79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22EA9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1006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7C275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7C11700"/>
    <w:multiLevelType w:val="hybridMultilevel"/>
    <w:tmpl w:val="255459BA"/>
    <w:lvl w:ilvl="0" w:tplc="C5F03F10">
      <w:start w:val="1"/>
      <w:numFmt w:val="lowerLetter"/>
      <w:lvlText w:val="%1)"/>
      <w:lvlJc w:val="left"/>
      <w:pPr>
        <w:ind w:left="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5225C6">
      <w:start w:val="1"/>
      <w:numFmt w:val="lowerLetter"/>
      <w:lvlText w:val="%2"/>
      <w:lvlJc w:val="left"/>
      <w:pPr>
        <w:ind w:left="1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26D1C2">
      <w:start w:val="1"/>
      <w:numFmt w:val="lowerRoman"/>
      <w:lvlText w:val="%3"/>
      <w:lvlJc w:val="left"/>
      <w:pPr>
        <w:ind w:left="2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1463BE">
      <w:start w:val="1"/>
      <w:numFmt w:val="decimal"/>
      <w:lvlText w:val="%4"/>
      <w:lvlJc w:val="left"/>
      <w:pPr>
        <w:ind w:left="29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CA2AE4">
      <w:start w:val="1"/>
      <w:numFmt w:val="lowerLetter"/>
      <w:lvlText w:val="%5"/>
      <w:lvlJc w:val="left"/>
      <w:pPr>
        <w:ind w:left="36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BE10AC">
      <w:start w:val="1"/>
      <w:numFmt w:val="lowerRoman"/>
      <w:lvlText w:val="%6"/>
      <w:lvlJc w:val="left"/>
      <w:pPr>
        <w:ind w:left="43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1468FE">
      <w:start w:val="1"/>
      <w:numFmt w:val="decimal"/>
      <w:lvlText w:val="%7"/>
      <w:lvlJc w:val="left"/>
      <w:pPr>
        <w:ind w:left="51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D6A5FE">
      <w:start w:val="1"/>
      <w:numFmt w:val="lowerLetter"/>
      <w:lvlText w:val="%8"/>
      <w:lvlJc w:val="left"/>
      <w:pPr>
        <w:ind w:left="58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36FD08">
      <w:start w:val="1"/>
      <w:numFmt w:val="lowerRoman"/>
      <w:lvlText w:val="%9"/>
      <w:lvlJc w:val="left"/>
      <w:pPr>
        <w:ind w:left="65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67292445">
    <w:abstractNumId w:val="1"/>
  </w:num>
  <w:num w:numId="2" w16cid:durableId="1194614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4C3"/>
    <w:rsid w:val="0003686E"/>
    <w:rsid w:val="004A6982"/>
    <w:rsid w:val="00B9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D0F08"/>
  <w15:docId w15:val="{986BBD74-4A95-4B5B-A898-59A863656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4" w:line="288" w:lineRule="auto"/>
      <w:ind w:left="430" w:hanging="430"/>
      <w:jc w:val="both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9" w:lineRule="auto"/>
    </w:pPr>
    <w:rPr>
      <w:rFonts w:ascii="Arial" w:eastAsia="Arial" w:hAnsi="Arial" w:cs="Arial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0.jp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0.jpg"/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0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855</Words>
  <Characters>5136</Characters>
  <Application>Microsoft Office Word</Application>
  <DocSecurity>0</DocSecurity>
  <Lines>42</Lines>
  <Paragraphs>11</Paragraphs>
  <ScaleCrop>false</ScaleCrop>
  <Company/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Kamińska</dc:creator>
  <cp:keywords/>
  <cp:lastModifiedBy>Aneta Brzózka</cp:lastModifiedBy>
  <cp:revision>2</cp:revision>
  <dcterms:created xsi:type="dcterms:W3CDTF">2025-01-30T08:31:00Z</dcterms:created>
  <dcterms:modified xsi:type="dcterms:W3CDTF">2025-01-30T08:31:00Z</dcterms:modified>
</cp:coreProperties>
</file>