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ED832F" w14:textId="021EC8E9" w:rsidR="00481A0D" w:rsidRPr="001B39F8" w:rsidRDefault="00481A0D" w:rsidP="00481A0D">
      <w:pPr>
        <w:tabs>
          <w:tab w:val="center" w:pos="4536"/>
          <w:tab w:val="right" w:pos="9072"/>
        </w:tabs>
        <w:jc w:val="right"/>
        <w:rPr>
          <w:rFonts w:ascii="Calibri" w:eastAsia="Calibri" w:hAnsi="Calibri" w:cs="Times New Roman"/>
          <w:b/>
          <w:sz w:val="16"/>
          <w:szCs w:val="16"/>
        </w:rPr>
      </w:pPr>
      <w:bookmarkStart w:id="0" w:name="_Hlk52293841"/>
      <w:r w:rsidRPr="001B39F8">
        <w:rPr>
          <w:rFonts w:ascii="Calibri" w:eastAsia="Calibri" w:hAnsi="Calibri" w:cs="Times New Roman"/>
          <w:b/>
          <w:sz w:val="16"/>
          <w:szCs w:val="16"/>
        </w:rPr>
        <w:t xml:space="preserve">Załącznik nr  </w:t>
      </w:r>
      <w:r w:rsidR="00916887">
        <w:rPr>
          <w:rFonts w:ascii="Calibri" w:eastAsia="Calibri" w:hAnsi="Calibri" w:cs="Times New Roman"/>
          <w:b/>
          <w:sz w:val="16"/>
          <w:szCs w:val="16"/>
        </w:rPr>
        <w:t>7</w:t>
      </w:r>
      <w:r w:rsidRPr="001B39F8">
        <w:rPr>
          <w:rFonts w:ascii="Calibri" w:eastAsia="Calibri" w:hAnsi="Calibri" w:cs="Times New Roman"/>
          <w:b/>
          <w:sz w:val="16"/>
          <w:szCs w:val="16"/>
        </w:rPr>
        <w:t xml:space="preserve">  do </w:t>
      </w:r>
      <w:r w:rsidR="00F66830">
        <w:rPr>
          <w:rFonts w:ascii="Calibri" w:eastAsia="Calibri" w:hAnsi="Calibri" w:cs="Times New Roman"/>
          <w:b/>
          <w:sz w:val="16"/>
          <w:szCs w:val="16"/>
        </w:rPr>
        <w:t xml:space="preserve">Regulaminu rekrutacji i uczestnictwa </w:t>
      </w:r>
      <w:r w:rsidRPr="001B39F8">
        <w:rPr>
          <w:rFonts w:ascii="Calibri" w:eastAsia="Calibri" w:hAnsi="Calibri" w:cs="Times New Roman"/>
          <w:b/>
          <w:sz w:val="16"/>
          <w:szCs w:val="16"/>
        </w:rPr>
        <w:t xml:space="preserve">w projekcie </w:t>
      </w:r>
      <w:bookmarkStart w:id="1" w:name="_Hlk52447364"/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Przepis na Menedżera </w:t>
      </w:r>
    </w:p>
    <w:p w14:paraId="47CE6283" w14:textId="77777777" w:rsidR="00481A0D" w:rsidRPr="001B39F8" w:rsidRDefault="00481A0D" w:rsidP="00481A0D">
      <w:pPr>
        <w:tabs>
          <w:tab w:val="center" w:pos="4536"/>
          <w:tab w:val="right" w:pos="9072"/>
        </w:tabs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>i zadania anty-covidowe dla sektorów: chemicznego, usług rozwojowych i motoryzacyjnego</w:t>
      </w:r>
      <w:bookmarkEnd w:id="1"/>
    </w:p>
    <w:p w14:paraId="53A61D85" w14:textId="77777777" w:rsidR="00481A0D" w:rsidRDefault="00481A0D" w:rsidP="00481A0D">
      <w:pPr>
        <w:tabs>
          <w:tab w:val="center" w:pos="4536"/>
          <w:tab w:val="right" w:pos="9072"/>
        </w:tabs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>(Zadania COVID-19)</w:t>
      </w:r>
      <w:bookmarkEnd w:id="0"/>
    </w:p>
    <w:p w14:paraId="26C760AB" w14:textId="77777777" w:rsidR="00481A0D" w:rsidRPr="0069018C" w:rsidRDefault="00481A0D" w:rsidP="00481A0D">
      <w:pPr>
        <w:tabs>
          <w:tab w:val="center" w:pos="4536"/>
          <w:tab w:val="right" w:pos="9072"/>
        </w:tabs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b/>
          <w:sz w:val="16"/>
          <w:szCs w:val="16"/>
          <w:lang w:eastAsia="zh-CN"/>
        </w:rPr>
        <w:br/>
      </w:r>
      <w:r w:rsidRPr="0069018C">
        <w:rPr>
          <w:rFonts w:asciiTheme="minorHAnsi" w:hAnsiTheme="minorHAnsi" w:cstheme="minorHAnsi"/>
          <w:b/>
          <w:bCs/>
          <w:sz w:val="24"/>
          <w:szCs w:val="24"/>
        </w:rPr>
        <w:t>ZASADY KONTROLI W PROJEKCIE</w:t>
      </w:r>
    </w:p>
    <w:p w14:paraId="49D4426F" w14:textId="77777777" w:rsidR="00481A0D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</w:p>
    <w:p w14:paraId="6F056CA5" w14:textId="77777777" w:rsidR="00481A0D" w:rsidRPr="008F6EBD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§ 1</w:t>
      </w:r>
    </w:p>
    <w:p w14:paraId="3E25EB5B" w14:textId="77777777" w:rsidR="00481A0D" w:rsidRPr="008F6EBD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 Zasady ogólne</w:t>
      </w:r>
    </w:p>
    <w:p w14:paraId="4FC2CDCF" w14:textId="77777777" w:rsidR="00481A0D" w:rsidRPr="008F6EBD" w:rsidRDefault="00481A0D" w:rsidP="00481A0D">
      <w:pPr>
        <w:pStyle w:val="Nagwek1"/>
        <w:spacing w:before="0" w:line="240" w:lineRule="auto"/>
        <w:ind w:right="3637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7F5E7089" w14:textId="77777777" w:rsidR="00481A0D" w:rsidRPr="00D3003F" w:rsidRDefault="00481A0D" w:rsidP="00481A0D">
      <w:pPr>
        <w:pStyle w:val="Akapitzlist"/>
        <w:numPr>
          <w:ilvl w:val="0"/>
          <w:numId w:val="2"/>
        </w:numPr>
        <w:tabs>
          <w:tab w:val="left" w:pos="851"/>
        </w:tabs>
        <w:spacing w:line="276" w:lineRule="auto"/>
        <w:ind w:right="115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Pojęcia użyte w niniejszych Zasadach mają znaczenie nadane w Regulaminie Rekrutacji i Uczestnictwa </w:t>
      </w:r>
      <w:r>
        <w:rPr>
          <w:rFonts w:asciiTheme="minorHAnsi" w:hAnsiTheme="minorHAnsi" w:cstheme="minorHAnsi"/>
          <w:sz w:val="20"/>
          <w:szCs w:val="20"/>
        </w:rPr>
        <w:br/>
      </w:r>
      <w:r w:rsidRPr="008F6EBD">
        <w:rPr>
          <w:rFonts w:asciiTheme="minorHAnsi" w:hAnsiTheme="minorHAnsi" w:cstheme="minorHAnsi"/>
          <w:sz w:val="20"/>
          <w:szCs w:val="20"/>
        </w:rPr>
        <w:t>w Projekcie Polskiej Agencji Rozwoju Przedsiębiorczości pn. „</w:t>
      </w:r>
      <w:r w:rsidRPr="00D3003F">
        <w:rPr>
          <w:rFonts w:asciiTheme="minorHAnsi" w:hAnsiTheme="minorHAnsi" w:cstheme="minorHAnsi"/>
          <w:sz w:val="20"/>
          <w:szCs w:val="20"/>
        </w:rPr>
        <w:t>Przepis na Menedżera i zadania anty-covidowe dla sektorów: chemicznego, usług rozwojowych i motoryzacyjnego”.</w:t>
      </w:r>
    </w:p>
    <w:p w14:paraId="65103F03" w14:textId="77777777" w:rsidR="00481A0D" w:rsidRPr="00DC5CCB" w:rsidRDefault="00481A0D" w:rsidP="00481A0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15"/>
        <w:jc w:val="both"/>
        <w:rPr>
          <w:rFonts w:asciiTheme="minorHAnsi" w:hAnsiTheme="minorHAnsi" w:cstheme="minorHAnsi"/>
          <w:sz w:val="20"/>
          <w:szCs w:val="20"/>
        </w:rPr>
      </w:pPr>
      <w:r w:rsidRPr="00DC5CCB">
        <w:rPr>
          <w:rFonts w:asciiTheme="minorHAnsi" w:hAnsiTheme="minorHAnsi" w:cstheme="minorHAnsi"/>
          <w:sz w:val="20"/>
          <w:szCs w:val="20"/>
        </w:rPr>
        <w:t xml:space="preserve">Do przeprowadzenia kontroli uprawnieni są pracownicy Instytucji Pośredniczącej/ Instytucji Zarządzającej POWER i innej instytucji uprawnionej do przeprowadzenia kontroli na podstawie odrębnych przepisów lub upoważnienia wyżej wymienionych instytucji, pracownicy Operatora: HRP Group Spółka z o.o. oraz Pracownicy Partnerów realizujących kontrole w sektorach: chemicznym- Stowarzyszenie Zachodniopomorski Klaster Chemiczny "Zielona Chemia", usług rozwojowych - Polska Izba Firm Szkoleniowych, motoryzacyjnym- </w:t>
      </w:r>
    </w:p>
    <w:p w14:paraId="3B4E510C" w14:textId="77777777" w:rsidR="00481A0D" w:rsidRPr="00DC5CCB" w:rsidRDefault="00481A0D" w:rsidP="00481A0D">
      <w:pPr>
        <w:pStyle w:val="Akapitzlist"/>
        <w:tabs>
          <w:tab w:val="left" w:pos="821"/>
        </w:tabs>
        <w:spacing w:line="276" w:lineRule="auto"/>
        <w:ind w:left="820" w:right="115" w:firstLine="0"/>
        <w:jc w:val="both"/>
        <w:rPr>
          <w:rFonts w:asciiTheme="minorHAnsi" w:hAnsiTheme="minorHAnsi" w:cstheme="minorHAnsi"/>
          <w:sz w:val="20"/>
          <w:szCs w:val="20"/>
        </w:rPr>
      </w:pPr>
      <w:r w:rsidRPr="00DC5CCB">
        <w:rPr>
          <w:rFonts w:asciiTheme="minorHAnsi" w:hAnsiTheme="minorHAnsi" w:cstheme="minorHAnsi"/>
          <w:sz w:val="20"/>
          <w:szCs w:val="20"/>
        </w:rPr>
        <w:t>Konfederacja Lewiatan.</w:t>
      </w:r>
    </w:p>
    <w:p w14:paraId="468815F8" w14:textId="77777777" w:rsidR="00481A0D" w:rsidRPr="008F6EBD" w:rsidRDefault="00481A0D" w:rsidP="00481A0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15" w:hanging="360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Operator zobowiązany jest do prowadzenia rejestru</w:t>
      </w:r>
      <w:r>
        <w:rPr>
          <w:rFonts w:asciiTheme="minorHAnsi" w:hAnsiTheme="minorHAnsi" w:cstheme="minorHAnsi"/>
          <w:sz w:val="20"/>
          <w:szCs w:val="20"/>
        </w:rPr>
        <w:t xml:space="preserve"> kontroli</w:t>
      </w:r>
      <w:r w:rsidRPr="008F6EBD">
        <w:rPr>
          <w:rFonts w:asciiTheme="minorHAnsi" w:hAnsiTheme="minorHAnsi" w:cstheme="minorHAnsi"/>
          <w:sz w:val="20"/>
          <w:szCs w:val="20"/>
        </w:rPr>
        <w:t>.</w:t>
      </w:r>
    </w:p>
    <w:p w14:paraId="6DBFB869" w14:textId="77777777" w:rsidR="00481A0D" w:rsidRPr="008F6EBD" w:rsidRDefault="00481A0D" w:rsidP="00481A0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25" w:hanging="360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Operator jest uprawniony do kontroli doraźnych w siedzibie Przedsiębiorcy w sytuacji, gdy dokumenty przez niego przedstawione budzą</w:t>
      </w:r>
      <w:r w:rsidRPr="008F6EBD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wątpliwości.</w:t>
      </w:r>
    </w:p>
    <w:p w14:paraId="6F1294DE" w14:textId="77777777" w:rsidR="00481A0D" w:rsidRPr="008F6EBD" w:rsidRDefault="00481A0D" w:rsidP="00481A0D">
      <w:pPr>
        <w:pStyle w:val="Akapitzlist"/>
        <w:numPr>
          <w:ilvl w:val="0"/>
          <w:numId w:val="2"/>
        </w:numPr>
        <w:tabs>
          <w:tab w:val="left" w:pos="821"/>
        </w:tabs>
        <w:spacing w:line="276" w:lineRule="auto"/>
        <w:ind w:right="114" w:hanging="360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Operator jest zobowiązany do udostępniania IP danych dotyczących realizacji obowiązków w zakresie przeprowadzonych kontroli w ujęciu min. miesięcznym, w tym co</w:t>
      </w:r>
      <w:r w:rsidRPr="008F6EBD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najmniej:</w:t>
      </w:r>
    </w:p>
    <w:p w14:paraId="36E60B40" w14:textId="77777777" w:rsidR="00481A0D" w:rsidRPr="00B85B35" w:rsidRDefault="00481A0D" w:rsidP="00481A0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85B35">
        <w:rPr>
          <w:rFonts w:asciiTheme="minorHAnsi" w:hAnsiTheme="minorHAnsi" w:cstheme="minorHAnsi"/>
          <w:sz w:val="20"/>
          <w:szCs w:val="20"/>
        </w:rPr>
        <w:t>liczby podpisanych umów z</w:t>
      </w:r>
      <w:r w:rsidRPr="00B85B35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B85B35">
        <w:rPr>
          <w:rFonts w:asciiTheme="minorHAnsi" w:hAnsiTheme="minorHAnsi" w:cstheme="minorHAnsi"/>
          <w:sz w:val="20"/>
          <w:szCs w:val="20"/>
        </w:rPr>
        <w:t>przedsiębiorcami,</w:t>
      </w:r>
    </w:p>
    <w:p w14:paraId="324A60CE" w14:textId="77777777" w:rsidR="00481A0D" w:rsidRPr="008F6EBD" w:rsidRDefault="00481A0D" w:rsidP="00481A0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ind w:right="121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liczby przeprowadzonych kontroli oraz wizyt monitoringowych w miejscu realizacji usług rozwojowych</w:t>
      </w:r>
      <w:r w:rsidRPr="008F6EBD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wraz</w:t>
      </w:r>
      <w:r w:rsidRPr="008F6EB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ze</w:t>
      </w:r>
      <w:r w:rsidRPr="008F6EBD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wskazaniem</w:t>
      </w:r>
      <w:r w:rsidRPr="008F6EBD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danych</w:t>
      </w:r>
      <w:r w:rsidRPr="008F6EBD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gdzie</w:t>
      </w:r>
      <w:r w:rsidRPr="008F6EBD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przedmiotowe</w:t>
      </w:r>
      <w:r w:rsidRPr="008F6EBD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wizyty</w:t>
      </w:r>
      <w:r w:rsidRPr="008F6EBD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zostały</w:t>
      </w:r>
      <w:r w:rsidRPr="008F6EBD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przeprowadzone,</w:t>
      </w:r>
    </w:p>
    <w:p w14:paraId="6A708E68" w14:textId="77777777" w:rsidR="00481A0D" w:rsidRPr="008F6EBD" w:rsidRDefault="00481A0D" w:rsidP="00481A0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informacji dotyczących stwierdzonych</w:t>
      </w:r>
      <w:r w:rsidRPr="008F6EBD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nieprawidłowości.</w:t>
      </w:r>
    </w:p>
    <w:p w14:paraId="7B14283C" w14:textId="77777777" w:rsidR="00481A0D" w:rsidRPr="008F6EBD" w:rsidRDefault="00481A0D" w:rsidP="00481A0D">
      <w:pPr>
        <w:pStyle w:val="Akapitzlist"/>
        <w:numPr>
          <w:ilvl w:val="0"/>
          <w:numId w:val="4"/>
        </w:numPr>
        <w:tabs>
          <w:tab w:val="left" w:pos="821"/>
        </w:tabs>
        <w:spacing w:line="276" w:lineRule="auto"/>
        <w:ind w:firstLine="207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Kontrole mogą być przeprowadzane w następujących</w:t>
      </w:r>
      <w:r w:rsidRPr="008F6EBD">
        <w:rPr>
          <w:rFonts w:asciiTheme="minorHAnsi" w:hAnsiTheme="minorHAnsi" w:cstheme="minorHAnsi"/>
          <w:spacing w:val="-6"/>
          <w:sz w:val="20"/>
          <w:szCs w:val="20"/>
        </w:rPr>
        <w:t xml:space="preserve"> </w:t>
      </w:r>
      <w:r w:rsidRPr="008F6EBD">
        <w:rPr>
          <w:rFonts w:asciiTheme="minorHAnsi" w:hAnsiTheme="minorHAnsi" w:cstheme="minorHAnsi"/>
          <w:sz w:val="20"/>
          <w:szCs w:val="20"/>
        </w:rPr>
        <w:t>trybach:</w:t>
      </w:r>
    </w:p>
    <w:p w14:paraId="4F587AAF" w14:textId="77777777" w:rsidR="00481A0D" w:rsidRPr="008F6EBD" w:rsidRDefault="00481A0D" w:rsidP="00481A0D">
      <w:pPr>
        <w:pStyle w:val="Akapitzlist"/>
        <w:numPr>
          <w:ilvl w:val="1"/>
          <w:numId w:val="4"/>
        </w:numPr>
        <w:tabs>
          <w:tab w:val="left" w:pos="1234"/>
        </w:tabs>
        <w:spacing w:before="2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planowym,</w:t>
      </w:r>
    </w:p>
    <w:p w14:paraId="10677334" w14:textId="77777777" w:rsidR="00481A0D" w:rsidRPr="008F6EBD" w:rsidRDefault="00481A0D" w:rsidP="00481A0D">
      <w:pPr>
        <w:pStyle w:val="Akapitzlist"/>
        <w:numPr>
          <w:ilvl w:val="1"/>
          <w:numId w:val="4"/>
        </w:numPr>
        <w:tabs>
          <w:tab w:val="left" w:pos="1234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doraźnym.</w:t>
      </w:r>
    </w:p>
    <w:p w14:paraId="6BBB4D62" w14:textId="77777777" w:rsidR="00481A0D" w:rsidRPr="008F6EBD" w:rsidRDefault="00481A0D" w:rsidP="00481A0D">
      <w:pPr>
        <w:pStyle w:val="Tekstpodstawowy"/>
        <w:spacing w:before="10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B948AFC" w14:textId="77777777" w:rsidR="00481A0D" w:rsidRPr="008F6EBD" w:rsidRDefault="00481A0D" w:rsidP="00481A0D">
      <w:pPr>
        <w:pStyle w:val="Nagwek1"/>
        <w:spacing w:line="240" w:lineRule="auto"/>
        <w:ind w:right="3640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 xml:space="preserve">§ 2 </w:t>
      </w:r>
    </w:p>
    <w:p w14:paraId="5CA4AC0E" w14:textId="77777777" w:rsidR="00481A0D" w:rsidRPr="008F6EBD" w:rsidRDefault="00481A0D" w:rsidP="00481A0D">
      <w:pPr>
        <w:pStyle w:val="Nagwek1"/>
        <w:spacing w:line="240" w:lineRule="auto"/>
        <w:ind w:right="3640"/>
        <w:rPr>
          <w:rFonts w:asciiTheme="minorHAnsi" w:hAnsiTheme="minorHAnsi" w:cstheme="minorHAnsi"/>
          <w:sz w:val="20"/>
          <w:szCs w:val="20"/>
        </w:rPr>
      </w:pPr>
      <w:r w:rsidRPr="008F6EBD">
        <w:rPr>
          <w:rFonts w:asciiTheme="minorHAnsi" w:hAnsiTheme="minorHAnsi" w:cstheme="minorHAnsi"/>
          <w:sz w:val="20"/>
          <w:szCs w:val="20"/>
        </w:rPr>
        <w:t>Zasady prowadzenia kontroli</w:t>
      </w:r>
    </w:p>
    <w:p w14:paraId="34696C01" w14:textId="77777777" w:rsidR="00481A0D" w:rsidRPr="008F6EBD" w:rsidRDefault="00481A0D" w:rsidP="00481A0D">
      <w:pPr>
        <w:pStyle w:val="Nagwek1"/>
        <w:spacing w:line="240" w:lineRule="auto"/>
        <w:ind w:right="3640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14:paraId="4B6130D0" w14:textId="77777777" w:rsidR="00481A0D" w:rsidRPr="00C52F7A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5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Przedsiębiorcy po zawarciu Umowy wsparcia mogą zostać objęci kontrolą realizacji tej Umowy. Kontrole prowadzone w odniesieniu do uczestników Projektu są</w:t>
      </w:r>
      <w:r w:rsidRPr="00C52F7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prowadzone:</w:t>
      </w:r>
    </w:p>
    <w:p w14:paraId="6A9A7C38" w14:textId="77777777" w:rsidR="00481A0D" w:rsidRPr="00C52F7A" w:rsidRDefault="00481A0D" w:rsidP="00481A0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before="1"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na dokumentach w siedzibie</w:t>
      </w:r>
      <w:r w:rsidRPr="00C52F7A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Operatora,</w:t>
      </w:r>
    </w:p>
    <w:p w14:paraId="439C5652" w14:textId="77777777" w:rsidR="00481A0D" w:rsidRDefault="00481A0D" w:rsidP="00481A0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w miejscu realizacji usługi rozwojowej – wizyty</w:t>
      </w:r>
      <w:r w:rsidRPr="00C52F7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monitoringowe,</w:t>
      </w:r>
    </w:p>
    <w:p w14:paraId="5FA869CB" w14:textId="77777777" w:rsidR="00481A0D" w:rsidRPr="00EA35FB" w:rsidRDefault="00481A0D" w:rsidP="00481A0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EA35FB">
        <w:rPr>
          <w:rFonts w:asciiTheme="minorHAnsi" w:hAnsiTheme="minorHAnsi" w:cstheme="minorHAnsi"/>
          <w:sz w:val="20"/>
          <w:szCs w:val="20"/>
        </w:rPr>
        <w:t xml:space="preserve">poprzez dołączenie do trwającej usługi realizowanej w formie zdalnej, jeśli rada Sektorowa ds. kompetencji w </w:t>
      </w:r>
      <w:r>
        <w:rPr>
          <w:rFonts w:asciiTheme="minorHAnsi" w:hAnsiTheme="minorHAnsi" w:cstheme="minorHAnsi"/>
          <w:sz w:val="20"/>
          <w:szCs w:val="20"/>
        </w:rPr>
        <w:t xml:space="preserve">danym sektorze </w:t>
      </w:r>
      <w:r w:rsidRPr="00EA35FB">
        <w:rPr>
          <w:rFonts w:asciiTheme="minorHAnsi" w:hAnsiTheme="minorHAnsi" w:cstheme="minorHAnsi"/>
          <w:sz w:val="20"/>
          <w:szCs w:val="20"/>
        </w:rPr>
        <w:t>dopuszcza taką formę realizacji usług – kontrole zdalne</w:t>
      </w:r>
    </w:p>
    <w:p w14:paraId="5AEF8110" w14:textId="77777777" w:rsidR="00481A0D" w:rsidRPr="00C52F7A" w:rsidRDefault="00481A0D" w:rsidP="00481A0D">
      <w:pPr>
        <w:pStyle w:val="Akapitzlist"/>
        <w:numPr>
          <w:ilvl w:val="1"/>
          <w:numId w:val="1"/>
        </w:numPr>
        <w:tabs>
          <w:tab w:val="left" w:pos="567"/>
          <w:tab w:val="left" w:pos="1234"/>
        </w:tabs>
        <w:spacing w:before="1" w:line="276" w:lineRule="auto"/>
        <w:ind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w siedzibie</w:t>
      </w:r>
      <w:r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 Przedsiębiorcy</w:t>
      </w:r>
      <w:r w:rsidRPr="00C52F7A">
        <w:rPr>
          <w:rFonts w:asciiTheme="minorHAnsi" w:hAnsiTheme="minorHAnsi" w:cstheme="minorHAnsi"/>
          <w:sz w:val="20"/>
          <w:szCs w:val="20"/>
        </w:rPr>
        <w:t>.</w:t>
      </w:r>
    </w:p>
    <w:p w14:paraId="3137275E" w14:textId="77777777" w:rsidR="00481A0D" w:rsidRPr="00C52F7A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5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Przedsiębiorca zobowiązuje się poddać kontroli lub audytowi dokonywanej przez Operatora, </w:t>
      </w:r>
      <w:r w:rsidRPr="00C52F7A">
        <w:rPr>
          <w:rFonts w:asciiTheme="minorHAnsi" w:hAnsiTheme="minorHAnsi" w:cstheme="minorHAnsi"/>
          <w:spacing w:val="3"/>
          <w:sz w:val="20"/>
          <w:szCs w:val="20"/>
        </w:rPr>
        <w:t>IP</w:t>
      </w:r>
      <w:r w:rsidRPr="00C52F7A">
        <w:rPr>
          <w:rFonts w:asciiTheme="minorHAnsi" w:hAnsiTheme="minorHAnsi" w:cstheme="minorHAnsi"/>
          <w:color w:val="FF0000"/>
          <w:spacing w:val="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oraz inne uprawnione podmioty w zakresie prawidłowości realizacji przedmiotowej Umowy</w:t>
      </w:r>
      <w:r w:rsidRPr="00C52F7A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wsparcia.</w:t>
      </w:r>
    </w:p>
    <w:p w14:paraId="2BEE11D9" w14:textId="77777777" w:rsidR="00481A0D" w:rsidRPr="00C52F7A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5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Przedsiębiorca  zapewni kontrolującym możliwość weryfikacji danej osoby biorącej udział w usługach rozwojowych poprzez okazanie dowodu osobistego lub innego dokumentu z danymi oraz zdjęciem. W celu prawidłowej realizacji umowy Kontrolujący jest zobligowany do zachowania należytej staranności m.in. poprzez weryfikowanie strony umowy, w tym tożsamości uczestników projektu. Podstawą </w:t>
      </w:r>
      <w:r w:rsidRPr="00C52F7A">
        <w:rPr>
          <w:rFonts w:asciiTheme="minorHAnsi" w:hAnsiTheme="minorHAnsi" w:cstheme="minorHAnsi"/>
          <w:sz w:val="20"/>
          <w:szCs w:val="20"/>
        </w:rPr>
        <w:lastRenderedPageBreak/>
        <w:t>przetwarzania danych osobowych w postaci weryfikacji danej osoby jest artykuł 6 Rozporządzenia PARLAMENTU EUROPEJSKIEGO I RADY (UE) 2016/679 z dnia 27 kwietnia 2016 r.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 sprawie ochrony osób fizycznych w związku z przetwarzaniem danych osobowych i w sprawie swobodnego przepływu takich danych oraz uchylenia dyrektywy 95/46/WE (ogólne rozporządzenie o ochronie danych) czyli RODO pkt. b</w:t>
      </w:r>
    </w:p>
    <w:p w14:paraId="672F7D5C" w14:textId="77777777" w:rsidR="00481A0D" w:rsidRPr="00C52F7A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8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Kontrola na dokumentach w siedzibie Operatora dotyczy bieżącej weryfikacji składanych przez Przedsiębiorcę dokumentów i ma charakter ciągły w trakcie trwania naboru i w czasie udziału w</w:t>
      </w:r>
      <w:r w:rsidRPr="00C52F7A">
        <w:rPr>
          <w:rFonts w:asciiTheme="minorHAnsi" w:hAnsiTheme="minorHAnsi" w:cstheme="minorHAnsi"/>
          <w:spacing w:val="-25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Projekcie.</w:t>
      </w:r>
    </w:p>
    <w:p w14:paraId="23E90FDC" w14:textId="77777777" w:rsidR="00481A0D" w:rsidRPr="00C52F7A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Wizyty monitoringowe są niezapowiedziane i odbywają się w godzinach i w miejscu realizacji Usługi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 xml:space="preserve">rozwojowej. </w:t>
      </w:r>
    </w:p>
    <w:p w14:paraId="3F1231CE" w14:textId="77777777" w:rsidR="00481A0D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Celem wizyty monitoringowej jest </w:t>
      </w:r>
      <w:bookmarkStart w:id="2" w:name="_Hlk52295373"/>
      <w:r w:rsidRPr="00C52F7A">
        <w:rPr>
          <w:rFonts w:asciiTheme="minorHAnsi" w:hAnsiTheme="minorHAnsi" w:cstheme="minorHAnsi"/>
          <w:sz w:val="20"/>
          <w:szCs w:val="20"/>
        </w:rPr>
        <w:t>stwierdzenie faktycznego dostarczenia usług rozwojowych i ich zgodności ze standardami określonymi w karcie usługi z BUR w tym zgodności uczestników usługi rozwojowej ze zgłoszeniem przez Przedsiębiorcę a także zgodność lokalizacji, tytułu oraz osoby prowadzącej usługę</w:t>
      </w:r>
      <w:bookmarkEnd w:id="2"/>
      <w:r w:rsidRPr="00C52F7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380D7F3B" w14:textId="77777777" w:rsidR="00481A0D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283"/>
        <w:jc w:val="both"/>
        <w:rPr>
          <w:rFonts w:asciiTheme="minorHAnsi" w:hAnsiTheme="minorHAnsi" w:cstheme="minorHAnsi"/>
          <w:sz w:val="20"/>
          <w:szCs w:val="20"/>
        </w:rPr>
      </w:pPr>
      <w:r w:rsidRPr="00D3003F">
        <w:rPr>
          <w:rFonts w:asciiTheme="minorHAnsi" w:hAnsiTheme="minorHAnsi" w:cstheme="minorHAnsi"/>
          <w:sz w:val="20"/>
          <w:szCs w:val="20"/>
        </w:rPr>
        <w:t>Celem kontroli zdalnej jest stwierdzenie faktycznego dostarczenia usług rozwojowych i ich zgodności ze standardami określonymi w karcie usługi z BUR w tym zgodności uczestników usługi rozwojowej ze zgłoszeniem przez Przedsiębiorcę a także zgodność lokalizacji, tytułu oraz osoby prowadzącej usługę</w:t>
      </w:r>
      <w:r>
        <w:rPr>
          <w:rFonts w:asciiTheme="minorHAnsi" w:hAnsiTheme="minorHAnsi" w:cstheme="minorHAnsi"/>
          <w:sz w:val="20"/>
          <w:szCs w:val="20"/>
        </w:rPr>
        <w:t>. Kontrole zdalne sa dokonywane zgodnie z Wytycznymi  PARP dotyczącymi realizacji usług zdalnych poprzez kilkukrotne logowanie podczas trwania usługi.</w:t>
      </w:r>
    </w:p>
    <w:p w14:paraId="78D6DAA3" w14:textId="77777777" w:rsidR="00481A0D" w:rsidRPr="00D3003F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before="1" w:line="276" w:lineRule="auto"/>
        <w:ind w:left="567" w:right="112" w:hanging="283"/>
        <w:jc w:val="both"/>
        <w:rPr>
          <w:rFonts w:asciiTheme="minorHAnsi" w:hAnsiTheme="minorHAnsi" w:cstheme="minorHAnsi"/>
          <w:sz w:val="20"/>
          <w:szCs w:val="20"/>
        </w:rPr>
      </w:pPr>
      <w:r w:rsidRPr="00D3003F">
        <w:rPr>
          <w:rFonts w:asciiTheme="minorHAnsi" w:hAnsiTheme="minorHAnsi" w:cstheme="minorHAnsi"/>
          <w:sz w:val="20"/>
          <w:szCs w:val="20"/>
        </w:rPr>
        <w:t>W uzasadnionych przypadkach wizyty monitoringowe mogą być przeprowadzane przez IP.</w:t>
      </w:r>
    </w:p>
    <w:p w14:paraId="658EA81B" w14:textId="77777777" w:rsidR="00481A0D" w:rsidRPr="00C52F7A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right="114" w:hanging="28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W przypadku kontroli w siedzibie Przedsiębiorcy jest on powiadamiany o kontroli na co najmniej 5 dni przed jej rozpoczęciem. Kontrola w siedzibie Przedsiębiorcy obejmuje weryfikację wszystkich dokumentów związanych </w:t>
      </w:r>
      <w:r>
        <w:rPr>
          <w:rFonts w:asciiTheme="minorHAnsi" w:hAnsiTheme="minorHAnsi" w:cstheme="minorHAnsi"/>
          <w:sz w:val="20"/>
          <w:szCs w:val="20"/>
        </w:rPr>
        <w:br/>
      </w:r>
      <w:r w:rsidRPr="00C52F7A">
        <w:rPr>
          <w:rFonts w:asciiTheme="minorHAnsi" w:hAnsiTheme="minorHAnsi" w:cstheme="minorHAnsi"/>
          <w:sz w:val="20"/>
          <w:szCs w:val="20"/>
        </w:rPr>
        <w:t>z realizacją Usługi rozwojowej oraz osób biorących w niej udział zgodnie z Regulaminem Projektu. Szczegółowy zakres kontroli wskazany zostanie w zawiadomieniu o</w:t>
      </w:r>
      <w:r w:rsidRPr="00C52F7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 xml:space="preserve">kontroli. </w:t>
      </w:r>
    </w:p>
    <w:p w14:paraId="2CD40E9E" w14:textId="77777777" w:rsidR="00481A0D" w:rsidRPr="00C52F7A" w:rsidRDefault="00481A0D" w:rsidP="00481A0D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right="114" w:hanging="53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Zakres kontroli w siedzibie Przedsiębiorcy obejmuje</w:t>
      </w:r>
      <w:r w:rsidRPr="00C52F7A">
        <w:rPr>
          <w:rFonts w:asciiTheme="minorHAnsi" w:hAnsiTheme="minorHAnsi" w:cstheme="minorHAnsi"/>
          <w:sz w:val="20"/>
          <w:szCs w:val="20"/>
          <w:u w:val="single"/>
        </w:rPr>
        <w:t xml:space="preserve"> w szczególności</w:t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5E419212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567"/>
          <w:tab w:val="left" w:pos="851"/>
        </w:tabs>
        <w:spacing w:line="276" w:lineRule="auto"/>
        <w:ind w:left="993" w:right="11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zgodność danych przekazywanych przez Przedsiębiorcę i Podmiot Świadczący Usługę rozwojową do Operatora z dokumentacją dotyczącą realizacji Usługi dostępną w siedzibie Przedsiębiorcy oraz Podmiotu Świadczącego Usługę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rozwojową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148DB21B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567"/>
          <w:tab w:val="left" w:pos="851"/>
        </w:tabs>
        <w:spacing w:line="276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prawidłowość rozliczeń</w:t>
      </w:r>
      <w:r w:rsidRPr="00C52F7A">
        <w:rPr>
          <w:rFonts w:asciiTheme="minorHAnsi" w:hAnsiTheme="minorHAnsi" w:cstheme="minorHAnsi"/>
          <w:spacing w:val="-27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finansowych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1AF66910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567"/>
          <w:tab w:val="left" w:pos="851"/>
        </w:tabs>
        <w:spacing w:before="1" w:line="276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kwalifikowalność</w:t>
      </w:r>
      <w:r w:rsidRPr="00C52F7A">
        <w:rPr>
          <w:rFonts w:asciiTheme="minorHAnsi" w:hAnsiTheme="minorHAnsi" w:cstheme="minorHAnsi"/>
          <w:spacing w:val="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wydatków.</w:t>
      </w:r>
    </w:p>
    <w:p w14:paraId="7A294793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Przedsiębiorca zapewnia podmiotom, o których mowa w § 1 ust.</w:t>
      </w:r>
      <w:r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2:</w:t>
      </w:r>
    </w:p>
    <w:p w14:paraId="1CABDE85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left="1134" w:right="115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prawo wglądu we wszystkie dokumenty związane jak i niezwiązane z realizacją Umowy wsparcia, o ile jest to konieczne do stwierdzenia kwalifikowalności wydatków w</w:t>
      </w:r>
      <w:r w:rsidRPr="00C52F7A">
        <w:rPr>
          <w:rFonts w:asciiTheme="minorHAnsi" w:hAnsiTheme="minorHAnsi" w:cstheme="minorHAnsi"/>
          <w:spacing w:val="-18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Projekcie,</w:t>
      </w:r>
    </w:p>
    <w:p w14:paraId="08846192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left="1134" w:right="115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obecność upoważnionych osób, które w imieniu Przedsiębiorcy udzielają wiążących wyjaśnień na temat realizacji Umowy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wsparcia,</w:t>
      </w:r>
    </w:p>
    <w:p w14:paraId="599FDBEE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before="1" w:line="276" w:lineRule="auto"/>
        <w:ind w:left="1134" w:right="12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pomieszczenie, w którym upoważnione do kontroli osoby będą mogły dokonać czynności kontrolnych.</w:t>
      </w:r>
    </w:p>
    <w:p w14:paraId="64C514A6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Niespełnienie przez Przedsiębiorcę warunków, o których mowa w ust. </w:t>
      </w:r>
      <w:r>
        <w:rPr>
          <w:rFonts w:asciiTheme="minorHAnsi" w:hAnsiTheme="minorHAnsi" w:cstheme="minorHAnsi"/>
          <w:sz w:val="20"/>
          <w:szCs w:val="20"/>
        </w:rPr>
        <w:t>10</w:t>
      </w:r>
      <w:r w:rsidRPr="00C52F7A">
        <w:rPr>
          <w:rFonts w:asciiTheme="minorHAnsi" w:hAnsiTheme="minorHAnsi" w:cstheme="minorHAnsi"/>
          <w:sz w:val="20"/>
          <w:szCs w:val="20"/>
        </w:rPr>
        <w:t xml:space="preserve"> jest traktowane jako odmowa poddania się kontroli i rodzi konsekwencje opisane w Regulaminie</w:t>
      </w:r>
      <w:r w:rsidRPr="00C52F7A">
        <w:rPr>
          <w:rFonts w:asciiTheme="minorHAnsi" w:hAnsiTheme="minorHAnsi" w:cstheme="minorHAnsi"/>
          <w:spacing w:val="-7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Projektu.</w:t>
      </w:r>
    </w:p>
    <w:p w14:paraId="77B60050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Odmowa poddania się kontroli jest równoznaczna z niedotrzymaniem warunków Umowy wsparcia i skutkować może odstąpieniem od refundacji kosztów usługi rozwojowej.</w:t>
      </w:r>
    </w:p>
    <w:p w14:paraId="1C36FF5E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 w:right="11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Po zakończeniu kontroli, w terminie nie dłuższym niż 14 dni kalendarzowych od dnia jej zakończenia, sporządzana jest i przekazywana do Przedsiębiorcy informacja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pokontrolna.</w:t>
      </w:r>
    </w:p>
    <w:p w14:paraId="04EF67D5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Informacja pokontrolna powinna w szczególności zawierać następujące</w:t>
      </w:r>
      <w:r w:rsidRPr="00C52F7A">
        <w:rPr>
          <w:rFonts w:asciiTheme="minorHAnsi" w:hAnsiTheme="minorHAnsi" w:cstheme="minorHAnsi"/>
          <w:spacing w:val="-1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elementy:</w:t>
      </w:r>
    </w:p>
    <w:p w14:paraId="6F6F1012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before="1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podstawę prawną przeprowadzania</w:t>
      </w:r>
      <w:r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kontroli,</w:t>
      </w:r>
    </w:p>
    <w:p w14:paraId="12C87D80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nazwę jednostki</w:t>
      </w:r>
      <w:r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kontrolującej,</w:t>
      </w:r>
    </w:p>
    <w:p w14:paraId="30834DD3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before="1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lastRenderedPageBreak/>
        <w:t>imiona i nazwiska osób przeprowadzających</w:t>
      </w:r>
      <w:r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kontrolę,</w:t>
      </w:r>
    </w:p>
    <w:p w14:paraId="384D6594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termin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kontroli,</w:t>
      </w:r>
    </w:p>
    <w:p w14:paraId="0C3EB503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nazwę jednostki</w:t>
      </w:r>
      <w:r w:rsidRPr="00C52F7A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kontrolowanej,</w:t>
      </w:r>
    </w:p>
    <w:p w14:paraId="5CB2EA30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2" w:line="276" w:lineRule="auto"/>
        <w:ind w:right="121"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adres jednostki kontrolowanej i miejsca, w którym przeprowadzono czynności kontrolne, o ile są różne,</w:t>
      </w:r>
    </w:p>
    <w:p w14:paraId="56CF12D2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osoby składające wyjaśnienia lub udzielające informacji w imieniu jednostki</w:t>
      </w:r>
      <w:r w:rsidRPr="00C52F7A">
        <w:rPr>
          <w:rFonts w:asciiTheme="minorHAnsi" w:hAnsiTheme="minorHAnsi" w:cstheme="minorHAnsi"/>
          <w:spacing w:val="-2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kontrolowanej,</w:t>
      </w:r>
    </w:p>
    <w:p w14:paraId="6111E4E5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podstawowe dane dotyczące kontrolowanego</w:t>
      </w:r>
      <w:r w:rsidRPr="00C52F7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projektu,</w:t>
      </w:r>
    </w:p>
    <w:p w14:paraId="06870088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opis kontrolowanych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procesów,</w:t>
      </w:r>
    </w:p>
    <w:p w14:paraId="042C24FF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2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ustalenia kontroli (opis zastanego stanu faktycznego w jednostce</w:t>
      </w:r>
      <w:r w:rsidRPr="00C52F7A">
        <w:rPr>
          <w:rFonts w:asciiTheme="minorHAnsi" w:hAnsiTheme="minorHAnsi" w:cstheme="minorHAnsi"/>
          <w:spacing w:val="-17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kontrolowanej),</w:t>
      </w:r>
    </w:p>
    <w:p w14:paraId="2C93F7F8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ewentualne zalecenia</w:t>
      </w:r>
      <w:r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pokontrolne/rekomendacje,</w:t>
      </w:r>
    </w:p>
    <w:p w14:paraId="439CBAD0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3"/>
          <w:tab w:val="left" w:pos="1234"/>
        </w:tabs>
        <w:spacing w:before="1" w:line="276" w:lineRule="auto"/>
        <w:ind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uwagi lub zastrzeżenia jednostki kontrolowanej do ustaleń</w:t>
      </w:r>
      <w:r w:rsidRPr="00C52F7A">
        <w:rPr>
          <w:rFonts w:asciiTheme="minorHAnsi" w:hAnsiTheme="minorHAnsi" w:cstheme="minorHAnsi"/>
          <w:spacing w:val="-8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kontroli,</w:t>
      </w:r>
    </w:p>
    <w:p w14:paraId="6EB78F9B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1234"/>
        </w:tabs>
        <w:spacing w:line="276" w:lineRule="auto"/>
        <w:ind w:right="120" w:hanging="666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odniesienia Zespołu kontrolnego do uwag jednostki kontrolowanej wniesionych do ustaleń kontroli,</w:t>
      </w:r>
    </w:p>
    <w:p w14:paraId="130D298B" w14:textId="77777777" w:rsidR="00481A0D" w:rsidRPr="00C52F7A" w:rsidRDefault="00481A0D" w:rsidP="00481A0D">
      <w:pPr>
        <w:pStyle w:val="Akapitzlist"/>
        <w:numPr>
          <w:ilvl w:val="1"/>
          <w:numId w:val="3"/>
        </w:numPr>
        <w:tabs>
          <w:tab w:val="left" w:pos="851"/>
          <w:tab w:val="left" w:pos="4929"/>
          <w:tab w:val="left" w:pos="6467"/>
          <w:tab w:val="left" w:pos="7268"/>
          <w:tab w:val="left" w:pos="7716"/>
          <w:tab w:val="left" w:pos="9400"/>
        </w:tabs>
        <w:spacing w:line="276" w:lineRule="auto"/>
        <w:ind w:left="1276" w:right="122" w:hanging="709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 xml:space="preserve">datę sporządzenia informacji pokontrolnej wraz z ewentualnymi </w:t>
      </w:r>
      <w:r w:rsidRPr="00C52F7A">
        <w:rPr>
          <w:rFonts w:asciiTheme="minorHAnsi" w:hAnsiTheme="minorHAnsi" w:cstheme="minorHAnsi"/>
          <w:spacing w:val="-1"/>
          <w:sz w:val="20"/>
          <w:szCs w:val="20"/>
        </w:rPr>
        <w:t xml:space="preserve">zaleceniami  </w:t>
      </w:r>
      <w:r w:rsidRPr="00C52F7A">
        <w:rPr>
          <w:rFonts w:asciiTheme="minorHAnsi" w:hAnsiTheme="minorHAnsi" w:cstheme="minorHAnsi"/>
          <w:sz w:val="20"/>
          <w:szCs w:val="20"/>
        </w:rPr>
        <w:t>pokontrolnymi/rekomendacjami.</w:t>
      </w:r>
    </w:p>
    <w:p w14:paraId="7AFF7343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before="1" w:line="276" w:lineRule="auto"/>
        <w:ind w:right="113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Przedsiębiorca może w terminie 14 dni kalendarzowych od dnia otrzymania informacji pokontrolnej odnieść się na piśmie do wyników oraz ewentualnie zaleceń kontroli – odniesienie to powinno zawierać uzasadnienie i ewentualną dokumentację (jeśli istnieje) do przedstawionych uwag co do ustaleń</w:t>
      </w:r>
      <w:r w:rsidRPr="00C52F7A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kontrolerów.</w:t>
      </w:r>
    </w:p>
    <w:p w14:paraId="34F5D344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W przypadku braku uwag do Informacji pokontrolnej we wskazanym w ust. 13 terminie uznaje się, że Przedsiębiorca zgadza się z ustaleniami kontroli i że zobowiązał się do wdrożenia i wdraża ewentualne zalecenia pokontrolne w określonych w informacji pokontrolnej terminach. Zalecenia pokontrolne zawierają uwagi i wnioski zmierzające do usunięcia stwierdzonych uchybień lub nieprawidłowości, a także mają na celu zapobieganie wystąpienia kolejnych uchybień/nieprawidłowości w</w:t>
      </w:r>
      <w:r w:rsidRPr="00C52F7A">
        <w:rPr>
          <w:rFonts w:asciiTheme="minorHAnsi" w:hAnsiTheme="minorHAnsi" w:cstheme="minorHAnsi"/>
          <w:spacing w:val="-35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przyszłości.</w:t>
      </w:r>
    </w:p>
    <w:p w14:paraId="55B6B058" w14:textId="77777777" w:rsidR="00481A0D" w:rsidRPr="00C52F7A" w:rsidRDefault="00481A0D" w:rsidP="00481A0D">
      <w:pPr>
        <w:pStyle w:val="Akapitzlist"/>
        <w:numPr>
          <w:ilvl w:val="0"/>
          <w:numId w:val="3"/>
        </w:numPr>
        <w:tabs>
          <w:tab w:val="left" w:pos="821"/>
        </w:tabs>
        <w:spacing w:line="276" w:lineRule="auto"/>
        <w:ind w:right="115"/>
        <w:jc w:val="both"/>
        <w:rPr>
          <w:rFonts w:asciiTheme="minorHAnsi" w:hAnsiTheme="minorHAnsi" w:cstheme="minorHAnsi"/>
          <w:sz w:val="20"/>
          <w:szCs w:val="20"/>
        </w:rPr>
      </w:pPr>
      <w:r w:rsidRPr="00C52F7A">
        <w:rPr>
          <w:rFonts w:asciiTheme="minorHAnsi" w:hAnsiTheme="minorHAnsi" w:cstheme="minorHAnsi"/>
          <w:sz w:val="20"/>
          <w:szCs w:val="20"/>
        </w:rPr>
        <w:t>Przedsiębiorca jest zobowiązany, w terminie wyznaczonym w informacji pokontrolnej, do wdrożenia zaleceń pokontrolnych oraz do pisemnego poinformowania HRP o sposobie wykorzystania uwag i wniosków oraz realizacji zaleceń pokontrolnych lub przyczynach niepodjęcia odpowiednich</w:t>
      </w:r>
      <w:r w:rsidRPr="00C52F7A">
        <w:rPr>
          <w:rFonts w:asciiTheme="minorHAnsi" w:hAnsiTheme="minorHAnsi" w:cstheme="minorHAnsi"/>
          <w:spacing w:val="-14"/>
          <w:sz w:val="20"/>
          <w:szCs w:val="20"/>
        </w:rPr>
        <w:t xml:space="preserve"> </w:t>
      </w:r>
      <w:r w:rsidRPr="00C52F7A">
        <w:rPr>
          <w:rFonts w:asciiTheme="minorHAnsi" w:hAnsiTheme="minorHAnsi" w:cstheme="minorHAnsi"/>
          <w:sz w:val="20"/>
          <w:szCs w:val="20"/>
        </w:rPr>
        <w:t>działań.</w:t>
      </w:r>
    </w:p>
    <w:p w14:paraId="09585A22" w14:textId="09306414" w:rsidR="002F43DE" w:rsidRDefault="00481A0D" w:rsidP="00481A0D">
      <w:r w:rsidRPr="00C52F7A">
        <w:rPr>
          <w:rFonts w:asciiTheme="minorHAnsi" w:hAnsiTheme="minorHAnsi" w:cstheme="minorHAnsi"/>
          <w:sz w:val="20"/>
          <w:szCs w:val="20"/>
        </w:rPr>
        <w:t>W przypadku stwierdzenia wydatkowania przez Przedsiębiorcę środków publicznych niezgodnie z zasadami określonymi w Regulaminie, Umowie wsparcia i przepisach prawa obowiązujących w Projekcie może on zostać wezwany do zwrotu środków na zasadach określonych w Regulaminie Projektu i Umowie</w:t>
      </w:r>
      <w:r>
        <w:rPr>
          <w:rFonts w:asciiTheme="minorHAnsi" w:hAnsiTheme="minorHAnsi" w:cstheme="minorHAnsi"/>
          <w:sz w:val="20"/>
          <w:szCs w:val="20"/>
        </w:rPr>
        <w:t xml:space="preserve"> wsparcia. </w:t>
      </w:r>
    </w:p>
    <w:sectPr w:rsidR="002F43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6BE85" w14:textId="77777777" w:rsidR="00DD6065" w:rsidRDefault="00DD6065" w:rsidP="00481A0D">
      <w:r>
        <w:separator/>
      </w:r>
    </w:p>
  </w:endnote>
  <w:endnote w:type="continuationSeparator" w:id="0">
    <w:p w14:paraId="65318824" w14:textId="77777777" w:rsidR="00DD6065" w:rsidRDefault="00DD6065" w:rsidP="00481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DF57A" w14:textId="77777777" w:rsidR="00EF4BC4" w:rsidRDefault="00EF4B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91947" w14:textId="77777777" w:rsidR="00EF4BC4" w:rsidRDefault="00EF4B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B5316" w14:textId="77777777" w:rsidR="00EF4BC4" w:rsidRDefault="00EF4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74F327" w14:textId="77777777" w:rsidR="00DD6065" w:rsidRDefault="00DD6065" w:rsidP="00481A0D">
      <w:r>
        <w:separator/>
      </w:r>
    </w:p>
  </w:footnote>
  <w:footnote w:type="continuationSeparator" w:id="0">
    <w:p w14:paraId="51D0EFA6" w14:textId="77777777" w:rsidR="00DD6065" w:rsidRDefault="00DD6065" w:rsidP="00481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A4944" w14:textId="77777777" w:rsidR="00EF4BC4" w:rsidRDefault="00EF4B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13E7A" w14:textId="3369FAFE" w:rsidR="00481A0D" w:rsidRDefault="00EF4BC4" w:rsidP="00EF4BC4">
    <w:pPr>
      <w:pStyle w:val="Nagwek"/>
      <w:ind w:left="142"/>
    </w:pPr>
    <w:r>
      <w:rPr>
        <w:noProof/>
      </w:rPr>
      <w:drawing>
        <wp:inline distT="0" distB="0" distL="0" distR="0" wp14:anchorId="15B92A54" wp14:editId="7B998758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3" w:name="_GoBack"/>
    <w:bookmarkEnd w:id="3"/>
  </w:p>
  <w:p w14:paraId="567B26D8" w14:textId="77777777" w:rsidR="00481A0D" w:rsidRDefault="00481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A0EDE" w14:textId="77777777" w:rsidR="00EF4BC4" w:rsidRDefault="00EF4B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A4C58"/>
    <w:multiLevelType w:val="multilevel"/>
    <w:tmpl w:val="1DE2AF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1440"/>
      </w:pPr>
      <w:rPr>
        <w:rFonts w:hint="default"/>
      </w:rPr>
    </w:lvl>
  </w:abstractNum>
  <w:abstractNum w:abstractNumId="1" w15:restartNumberingAfterBreak="0">
    <w:nsid w:val="419419C4"/>
    <w:multiLevelType w:val="multilevel"/>
    <w:tmpl w:val="4CEA0D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24" w:hanging="1440"/>
      </w:pPr>
      <w:rPr>
        <w:rFonts w:hint="default"/>
      </w:rPr>
    </w:lvl>
  </w:abstractNum>
  <w:abstractNum w:abstractNumId="2" w15:restartNumberingAfterBreak="0">
    <w:nsid w:val="4C1C0886"/>
    <w:multiLevelType w:val="hybridMultilevel"/>
    <w:tmpl w:val="6B66B4D8"/>
    <w:lvl w:ilvl="0" w:tplc="53DC74E0">
      <w:start w:val="1"/>
      <w:numFmt w:val="decimal"/>
      <w:lvlText w:val="%1."/>
      <w:lvlJc w:val="left"/>
      <w:pPr>
        <w:ind w:left="820" w:hanging="361"/>
      </w:pPr>
      <w:rPr>
        <w:rFonts w:ascii="Calibri" w:eastAsia="Arial" w:hAnsi="Calibri" w:cs="Arial" w:hint="default"/>
        <w:b w:val="0"/>
        <w:bCs/>
        <w:spacing w:val="-1"/>
        <w:w w:val="100"/>
        <w:sz w:val="20"/>
        <w:szCs w:val="20"/>
        <w:lang w:val="pl-PL" w:eastAsia="pl-PL" w:bidi="pl-PL"/>
      </w:rPr>
    </w:lvl>
    <w:lvl w:ilvl="1" w:tplc="0F441C98">
      <w:start w:val="1"/>
      <w:numFmt w:val="ordinal"/>
      <w:lvlText w:val="1.%2"/>
      <w:lvlJc w:val="left"/>
      <w:pPr>
        <w:ind w:left="1233" w:hanging="360"/>
      </w:pPr>
      <w:rPr>
        <w:rFonts w:hint="default"/>
        <w:spacing w:val="-1"/>
        <w:w w:val="100"/>
        <w:sz w:val="20"/>
        <w:szCs w:val="20"/>
        <w:lang w:val="pl-PL" w:eastAsia="pl-PL" w:bidi="pl-PL"/>
      </w:rPr>
    </w:lvl>
    <w:lvl w:ilvl="2" w:tplc="21B69C7E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FD8EF268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4B322762">
      <w:numFmt w:val="bullet"/>
      <w:lvlText w:val="•"/>
      <w:lvlJc w:val="left"/>
      <w:pPr>
        <w:ind w:left="4388" w:hanging="360"/>
      </w:pPr>
      <w:rPr>
        <w:rFonts w:hint="default"/>
        <w:lang w:val="pl-PL" w:eastAsia="pl-PL" w:bidi="pl-PL"/>
      </w:rPr>
    </w:lvl>
    <w:lvl w:ilvl="5" w:tplc="21727830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4152387A">
      <w:numFmt w:val="bullet"/>
      <w:lvlText w:val="•"/>
      <w:lvlJc w:val="left"/>
      <w:pPr>
        <w:ind w:left="6488" w:hanging="360"/>
      </w:pPr>
      <w:rPr>
        <w:rFonts w:hint="default"/>
        <w:lang w:val="pl-PL" w:eastAsia="pl-PL" w:bidi="pl-PL"/>
      </w:rPr>
    </w:lvl>
    <w:lvl w:ilvl="7" w:tplc="221E2F44">
      <w:numFmt w:val="bullet"/>
      <w:lvlText w:val="•"/>
      <w:lvlJc w:val="left"/>
      <w:pPr>
        <w:ind w:left="7537" w:hanging="360"/>
      </w:pPr>
      <w:rPr>
        <w:rFonts w:hint="default"/>
        <w:lang w:val="pl-PL" w:eastAsia="pl-PL" w:bidi="pl-PL"/>
      </w:rPr>
    </w:lvl>
    <w:lvl w:ilvl="8" w:tplc="9424CB52">
      <w:numFmt w:val="bullet"/>
      <w:lvlText w:val="•"/>
      <w:lvlJc w:val="left"/>
      <w:pPr>
        <w:ind w:left="8587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4E6E0A9E"/>
    <w:multiLevelType w:val="hybridMultilevel"/>
    <w:tmpl w:val="C450A2FE"/>
    <w:lvl w:ilvl="0" w:tplc="758E26EE">
      <w:start w:val="1"/>
      <w:numFmt w:val="decimal"/>
      <w:lvlText w:val="%1."/>
      <w:lvlJc w:val="left"/>
      <w:pPr>
        <w:ind w:left="820" w:hanging="361"/>
      </w:pPr>
      <w:rPr>
        <w:rFonts w:ascii="Calibri" w:eastAsia="Arial" w:hAnsi="Calibri" w:cs="Arial" w:hint="default"/>
        <w:b w:val="0"/>
        <w:bCs w:val="0"/>
        <w:spacing w:val="-1"/>
        <w:w w:val="100"/>
        <w:sz w:val="22"/>
        <w:szCs w:val="22"/>
        <w:lang w:val="pl-PL" w:eastAsia="pl-PL" w:bidi="pl-PL"/>
      </w:rPr>
    </w:lvl>
    <w:lvl w:ilvl="1" w:tplc="CD106670">
      <w:start w:val="1"/>
      <w:numFmt w:val="lowerLetter"/>
      <w:lvlText w:val="%2)"/>
      <w:lvlJc w:val="left"/>
      <w:pPr>
        <w:ind w:left="1233" w:hanging="360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2" w:tplc="4516B666">
      <w:numFmt w:val="bullet"/>
      <w:lvlText w:val="•"/>
      <w:lvlJc w:val="left"/>
      <w:pPr>
        <w:ind w:left="2289" w:hanging="360"/>
      </w:pPr>
      <w:rPr>
        <w:rFonts w:hint="default"/>
        <w:lang w:val="pl-PL" w:eastAsia="pl-PL" w:bidi="pl-PL"/>
      </w:rPr>
    </w:lvl>
    <w:lvl w:ilvl="3" w:tplc="009CA83E">
      <w:numFmt w:val="bullet"/>
      <w:lvlText w:val="•"/>
      <w:lvlJc w:val="left"/>
      <w:pPr>
        <w:ind w:left="3339" w:hanging="360"/>
      </w:pPr>
      <w:rPr>
        <w:rFonts w:hint="default"/>
        <w:lang w:val="pl-PL" w:eastAsia="pl-PL" w:bidi="pl-PL"/>
      </w:rPr>
    </w:lvl>
    <w:lvl w:ilvl="4" w:tplc="D92264C0">
      <w:numFmt w:val="bullet"/>
      <w:lvlText w:val="•"/>
      <w:lvlJc w:val="left"/>
      <w:pPr>
        <w:ind w:left="4388" w:hanging="360"/>
      </w:pPr>
      <w:rPr>
        <w:rFonts w:hint="default"/>
        <w:lang w:val="pl-PL" w:eastAsia="pl-PL" w:bidi="pl-PL"/>
      </w:rPr>
    </w:lvl>
    <w:lvl w:ilvl="5" w:tplc="B4FCD7F8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BC8A7226">
      <w:numFmt w:val="bullet"/>
      <w:lvlText w:val="•"/>
      <w:lvlJc w:val="left"/>
      <w:pPr>
        <w:ind w:left="6488" w:hanging="360"/>
      </w:pPr>
      <w:rPr>
        <w:rFonts w:hint="default"/>
        <w:lang w:val="pl-PL" w:eastAsia="pl-PL" w:bidi="pl-PL"/>
      </w:rPr>
    </w:lvl>
    <w:lvl w:ilvl="7" w:tplc="8430CF50">
      <w:numFmt w:val="bullet"/>
      <w:lvlText w:val="•"/>
      <w:lvlJc w:val="left"/>
      <w:pPr>
        <w:ind w:left="7537" w:hanging="360"/>
      </w:pPr>
      <w:rPr>
        <w:rFonts w:hint="default"/>
        <w:lang w:val="pl-PL" w:eastAsia="pl-PL" w:bidi="pl-PL"/>
      </w:rPr>
    </w:lvl>
    <w:lvl w:ilvl="8" w:tplc="CFD6FE1A">
      <w:numFmt w:val="bullet"/>
      <w:lvlText w:val="•"/>
      <w:lvlJc w:val="left"/>
      <w:pPr>
        <w:ind w:left="8587" w:hanging="360"/>
      </w:pPr>
      <w:rPr>
        <w:rFonts w:hint="default"/>
        <w:lang w:val="pl-PL" w:eastAsia="pl-PL" w:bidi="pl-P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0D"/>
    <w:rsid w:val="001C2A51"/>
    <w:rsid w:val="002A1124"/>
    <w:rsid w:val="00480119"/>
    <w:rsid w:val="00481A0D"/>
    <w:rsid w:val="00875AFD"/>
    <w:rsid w:val="00916887"/>
    <w:rsid w:val="00DD6065"/>
    <w:rsid w:val="00EF4BC4"/>
    <w:rsid w:val="00F6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55AC"/>
  <w15:chartTrackingRefBased/>
  <w15:docId w15:val="{BB52E20E-5320-408B-B18C-69D859ADB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1A0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481A0D"/>
    <w:pPr>
      <w:spacing w:before="1" w:line="252" w:lineRule="exact"/>
      <w:ind w:left="3622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1A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A0D"/>
  </w:style>
  <w:style w:type="paragraph" w:styleId="Stopka">
    <w:name w:val="footer"/>
    <w:basedOn w:val="Normalny"/>
    <w:link w:val="StopkaZnak"/>
    <w:uiPriority w:val="99"/>
    <w:unhideWhenUsed/>
    <w:rsid w:val="00481A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A0D"/>
  </w:style>
  <w:style w:type="character" w:customStyle="1" w:styleId="Nagwek1Znak">
    <w:name w:val="Nagłówek 1 Znak"/>
    <w:basedOn w:val="Domylnaczcionkaakapitu"/>
    <w:link w:val="Nagwek1"/>
    <w:uiPriority w:val="9"/>
    <w:rsid w:val="00481A0D"/>
    <w:rPr>
      <w:rFonts w:ascii="Arial" w:eastAsia="Arial" w:hAnsi="Arial" w:cs="Arial"/>
      <w:b/>
      <w:bCs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qFormat/>
    <w:rsid w:val="00481A0D"/>
    <w:pPr>
      <w:ind w:left="1233" w:hanging="36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81A0D"/>
    <w:rPr>
      <w:rFonts w:ascii="Arial" w:eastAsia="Arial" w:hAnsi="Arial" w:cs="Arial"/>
      <w:lang w:eastAsia="pl-PL" w:bidi="pl-PL"/>
    </w:rPr>
  </w:style>
  <w:style w:type="paragraph" w:styleId="Akapitzlist">
    <w:name w:val="List Paragraph"/>
    <w:basedOn w:val="Normalny"/>
    <w:uiPriority w:val="1"/>
    <w:qFormat/>
    <w:rsid w:val="00481A0D"/>
    <w:pPr>
      <w:ind w:left="1233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1199</Words>
  <Characters>7197</Characters>
  <Application>Microsoft Office Word</Application>
  <DocSecurity>0</DocSecurity>
  <Lines>59</Lines>
  <Paragraphs>16</Paragraphs>
  <ScaleCrop>false</ScaleCrop>
  <Company/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Anna Skonieczna</cp:lastModifiedBy>
  <cp:revision>4</cp:revision>
  <dcterms:created xsi:type="dcterms:W3CDTF">2020-10-14T05:11:00Z</dcterms:created>
  <dcterms:modified xsi:type="dcterms:W3CDTF">2021-08-03T07:26:00Z</dcterms:modified>
</cp:coreProperties>
</file>