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0DAC8" w14:textId="0F4ED684" w:rsidR="00A252B2" w:rsidRPr="0028216B" w:rsidRDefault="008A44A6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3B3FF1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Pr="0028216B">
        <w:rPr>
          <w:rFonts w:ascii="Arial" w:hAnsi="Arial" w:cs="Arial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8747F4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8747F4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Start w:id="1" w:name="_Hlk161042058"/>
      <w:r w:rsidRPr="0028216B">
        <w:rPr>
          <w:rFonts w:ascii="Arial" w:hAnsi="Arial" w:cs="Arial"/>
          <w:b/>
          <w:bCs/>
          <w:spacing w:val="6"/>
        </w:rPr>
        <w:t>FELD.09.02-IZ.00-0005/23</w:t>
      </w:r>
      <w:bookmarkEnd w:id="0"/>
      <w:bookmarkEnd w:id="1"/>
    </w:p>
    <w:p w14:paraId="6E6FD7C1" w14:textId="4A955E1C" w:rsidR="00E80EE1" w:rsidRPr="0028216B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EE3166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EE3166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kompetencje</w:t>
      </w:r>
      <w:r w:rsidR="00A252B2" w:rsidRPr="0028216B">
        <w:rPr>
          <w:rFonts w:ascii="Arial" w:hAnsi="Arial" w:cs="Arial"/>
          <w:b/>
          <w:bCs/>
          <w:spacing w:val="6"/>
          <w:sz w:val="24"/>
          <w:szCs w:val="24"/>
        </w:rPr>
        <w:t xml:space="preserve"> i kwalifikacje dla sprawiedliwej transformacji”</w:t>
      </w:r>
    </w:p>
    <w:p w14:paraId="22DA1E9F" w14:textId="0BAD6DA4" w:rsidR="00AD6878" w:rsidRPr="0028216B" w:rsidRDefault="00AD6878" w:rsidP="0028216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2" w:name="_Hlk165032740"/>
      <w:r w:rsidRPr="0028216B">
        <w:rPr>
          <w:rFonts w:ascii="Arial" w:hAnsi="Arial" w:cs="Arial"/>
          <w:color w:val="000000"/>
          <w:sz w:val="24"/>
          <w:szCs w:val="24"/>
        </w:rPr>
        <w:t xml:space="preserve">Zawarta </w:t>
      </w:r>
      <w:r w:rsidR="005678B2"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5678B2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5678B2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5678B2">
        <w:rPr>
          <w:rFonts w:ascii="Arial" w:hAnsi="Arial" w:cs="Arial"/>
          <w:spacing w:val="6"/>
          <w:sz w:val="24"/>
          <w:szCs w:val="24"/>
        </w:rPr>
        <w:t xml:space="preserve">  </w:t>
      </w:r>
      <w:r w:rsidRPr="0028216B">
        <w:rPr>
          <w:rFonts w:ascii="Arial" w:hAnsi="Arial" w:cs="Arial"/>
          <w:color w:val="000000"/>
          <w:sz w:val="24"/>
          <w:szCs w:val="24"/>
        </w:rPr>
        <w:t> pomiędzy:</w:t>
      </w:r>
    </w:p>
    <w:bookmarkEnd w:id="2"/>
    <w:p w14:paraId="37D1C44D" w14:textId="4A51FF04" w:rsidR="0098691E" w:rsidRPr="0028216B" w:rsidRDefault="00792A3F" w:rsidP="0028216B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HRP Grants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3" w:name="_Hlk165032858"/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Konsultanta Mobilnego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 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3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(kod pocztowy),przy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., legitymującym/ą się dowodem </w:t>
      </w:r>
      <w:r w:rsidR="008922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osobistym numer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…..wydanym przez 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dnia 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….PESEL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4" w:name="_Hlk158979314"/>
    </w:p>
    <w:p w14:paraId="6851AB3C" w14:textId="5F7DAB19" w:rsidR="00DF6C11" w:rsidRPr="0028216B" w:rsidRDefault="00DF6C11" w:rsidP="005976C3">
      <w:pPr>
        <w:spacing w:line="276" w:lineRule="auto"/>
        <w:rPr>
          <w:rFonts w:ascii="Arial" w:eastAsiaTheme="majorEastAsia" w:hAnsi="Arial" w:cs="Arial"/>
          <w:b/>
          <w:spacing w:val="6"/>
          <w:sz w:val="24"/>
          <w:szCs w:val="24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4"/>
      <w:r w:rsidRPr="0028216B">
        <w:rPr>
          <w:rFonts w:cs="Arial"/>
          <w:spacing w:val="6"/>
          <w:szCs w:val="24"/>
        </w:rPr>
        <w:t>Definicje</w:t>
      </w:r>
    </w:p>
    <w:p w14:paraId="78D78D8B" w14:textId="423D23D7" w:rsidR="007556A1" w:rsidRPr="0028216B" w:rsidRDefault="00050148" w:rsidP="0028216B">
      <w:pPr>
        <w:pStyle w:val="Default"/>
        <w:numPr>
          <w:ilvl w:val="0"/>
          <w:numId w:val="5"/>
        </w:numPr>
        <w:spacing w:after="240"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kompetencje i kwalifikacje dla sprawiedliwej transformacji”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spacing w:val="6"/>
        </w:rPr>
        <w:t>FELD.09.02-IZ.00-0005/23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8" w:history="1"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stronie internetowej Projektu</w:t>
        </w:r>
      </w:hyperlink>
      <w:r w:rsidR="00D435BD" w:rsidRPr="0028216B">
        <w:rPr>
          <w:rStyle w:val="Hipercze"/>
          <w:rFonts w:ascii="Arial" w:hAnsi="Arial" w:cs="Arial"/>
          <w:spacing w:val="6"/>
          <w14:ligatures w14:val="standardContextual"/>
        </w:rPr>
        <w:t xml:space="preserve">: </w:t>
      </w:r>
      <w:r w:rsidR="00D435BD" w:rsidRPr="0028216B">
        <w:rPr>
          <w:rFonts w:ascii="Arial" w:hAnsi="Arial" w:cs="Arial"/>
          <w:color w:val="000000" w:themeColor="text1"/>
          <w:spacing w:val="6"/>
        </w:rPr>
        <w:t>fst.przepisnarozwoj.eu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9" w:history="1">
        <w:r w:rsidR="00A252B2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</w:t>
        </w:r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ystemie Operatora</w:t>
        </w:r>
      </w:hyperlink>
      <w:r w:rsidR="00D435B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 fst.przepisnarozwoj.pl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AE785B1" w14:textId="3CB8426C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5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5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981EC8B" w:rsidR="001E6A13" w:rsidRPr="0028216B" w:rsidRDefault="007556A1" w:rsidP="0028216B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uczy się lub pracuje lub zamieszkuje Obszar Transformacji,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699E0B21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S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28216B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wskazane we Wniosku o Umowę Wsparcia</w:t>
      </w:r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63B87C94" w14:textId="5B5903B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osobą zatrudnioną w sektorach górniczym, energetycznym lub okołogórniczym,</w:t>
      </w:r>
    </w:p>
    <w:p w14:paraId="37902164" w14:textId="3F82C456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kobietą,</w:t>
      </w:r>
    </w:p>
    <w:p w14:paraId="3EAE7C75" w14:textId="36646EDD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skorzysta z usług prowadzących do nabycia kwalifikacji posiadających kod w ZSK </w:t>
      </w:r>
    </w:p>
    <w:p w14:paraId="46E95AF0" w14:textId="6228A57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skorzysta z Usług Preferowanych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51F67C6" w14:textId="1A093F3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>ie rozliczy usług rozwojowych objętych niniejszą Umową u innego Operatora realizującego jakikolwiek projekt w ramach PS</w:t>
      </w:r>
      <w:r w:rsidR="002E523C">
        <w:rPr>
          <w:rFonts w:ascii="Arial" w:hAnsi="Arial" w:cs="Arial"/>
          <w:color w:val="000000" w:themeColor="text1"/>
          <w:spacing w:val="6"/>
        </w:rPr>
        <w:t>F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WŁ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1F5DC26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</w:t>
      </w:r>
      <w:r w:rsidR="007556A1" w:rsidRPr="0028216B">
        <w:rPr>
          <w:rFonts w:ascii="Arial" w:hAnsi="Arial" w:cs="Arial"/>
          <w:color w:val="000000" w:themeColor="text1"/>
          <w:spacing w:val="6"/>
        </w:rPr>
        <w:lastRenderedPageBreak/>
        <w:t>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7FF8C214" w:rsidR="007556A1" w:rsidRPr="0028216B" w:rsidRDefault="001E6A13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rozliczanych w ramach Bonów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ozwojowych.</w:t>
      </w:r>
    </w:p>
    <w:p w14:paraId="6583C232" w14:textId="6FCA9DD5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będzie udzielone w ramach Projektu „Przepis na Rozwój - kompetencje i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sprawiedliwej transformacji”, który jest współfinansowany ze środków Funduszu na rzecz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prawiedliwej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ransformacji, w ramach programu regionalnego Fundusze Europejskie dla Łódzkiego 2021 -2027, Priorytetu FELD.09 Fundusze Europejskie dla Łódzkiego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transformacji Działania FELD.09.02 Społeczeństwo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transformacji.</w:t>
      </w:r>
    </w:p>
    <w:p w14:paraId="460D95C3" w14:textId="332EBDD4" w:rsidR="007556A1" w:rsidRPr="0028216B" w:rsidRDefault="00B73F1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ramach Umowy obejmuje 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</w:t>
      </w:r>
      <w:r w:rsidR="00F547C5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</w:t>
      </w:r>
      <w:r w:rsidR="00EB556F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..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których wartość jednostkowa wynosi 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100,00 zł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1F319F5" w:rsidR="00C10C7A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Bonów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42FE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</w:t>
      </w:r>
      <w:r w:rsidR="00B73F11">
        <w:rPr>
          <w:rFonts w:ascii="Arial" w:hAnsi="Arial" w:cs="Arial"/>
          <w:color w:val="000000" w:themeColor="text1"/>
          <w:spacing w:val="6"/>
          <w14:ligatures w14:val="standardContextual"/>
        </w:rPr>
        <w:t>kwotę: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……………………… zł (słownie: ……………….)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0C640B9C" w:rsidR="007556A1" w:rsidRPr="0028216B" w:rsidRDefault="00C10C7A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7% wartości Bonów rozwojowych i jego wysokość wynosi: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…………….. zł (słownie: …………………)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BD49FB9" w14:textId="3EA376C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Całkowite koszty zakupu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 z wykorzystaniem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rozwojowych zostaną ustalone w chwili wyboru danej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 przez Uczestniczkę</w:t>
      </w:r>
      <w:r w:rsidR="00E2413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zachowaniem zapisów niniejszej Umowy oraz Regulaminu.</w:t>
      </w:r>
    </w:p>
    <w:p w14:paraId="023B1381" w14:textId="201198A0" w:rsidR="00EB556F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w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przeliczeniu na jedną godzinę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18F928" w:rsidR="00EA2F95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70 1140 1108 0000 2392 2700 1033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7F1B54DC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0CF28A8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Przeznaczenie </w:t>
      </w:r>
      <w:r w:rsidR="00C10C7A" w:rsidRPr="0028216B">
        <w:rPr>
          <w:rFonts w:cs="Arial"/>
          <w:spacing w:val="6"/>
          <w:szCs w:val="24"/>
        </w:rPr>
        <w:t xml:space="preserve">i okres ważności </w:t>
      </w:r>
      <w:r w:rsidRPr="0028216B">
        <w:rPr>
          <w:rFonts w:cs="Arial"/>
          <w:spacing w:val="6"/>
          <w:szCs w:val="24"/>
        </w:rPr>
        <w:t>Bonów rozwojowych</w:t>
      </w:r>
    </w:p>
    <w:p w14:paraId="6718944C" w14:textId="57650A3B" w:rsidR="00712F53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1F579CAF" w14:textId="294A0A7A" w:rsidR="00937391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można wykorzystać wyłącznie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 wybrane z BUR, odpowiadające w największym stopniu na aktualne potrzeby Uczestniczki</w:t>
      </w:r>
      <w:r w:rsidR="009E30A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wynikające z Bilansu Kompetencji.</w:t>
      </w:r>
    </w:p>
    <w:p w14:paraId="7E48F30C" w14:textId="7FDD62F3" w:rsidR="00493DAF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nie mogą być przeznaczone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rozwojowe, które wskazano szczegółowo w Regulaminie w § 6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ust. 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AAD63E" w14:textId="4B996CC3" w:rsidR="00887768" w:rsidRPr="009A5A32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Okres </w:t>
      </w:r>
      <w:r w:rsidR="00A952F4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ważności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które Uczestniczka</w:t>
      </w:r>
      <w:r w:rsidR="003D0C75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przeznaczy na daną </w:t>
      </w:r>
      <w:r w:rsidR="0078203C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sługę rozwojową został określony w ogłoszeniu o naborz</w:t>
      </w:r>
      <w:r w:rsidR="00D12600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e.</w:t>
      </w:r>
    </w:p>
    <w:p w14:paraId="3CFF9C87" w14:textId="446869EE" w:rsidR="00887768" w:rsidRPr="0028216B" w:rsidRDefault="00BE14EB" w:rsidP="00567FCD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</w:t>
      </w:r>
      <w:r w:rsidR="00597B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rozliczenia 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Bonów rozwojowych został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określon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§ 11 Regulaminu.</w:t>
      </w:r>
    </w:p>
    <w:p w14:paraId="09A6778E" w14:textId="17C3338C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1A96DCBF" w:rsidR="00937391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mają możliwość w trakcie trwania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mowy wgrywania kolejnych lub skorygowanych kart usług rozwojowych, które będą zgodne z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Bilansem Kompetencji. Operator każdorazowo ma obowiązek weryfikować zgodność usługi z Bilansem.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mają możliwość zrealizowania kilku usług rozwojowych w trakcie trwania Umowy Wsparcia nie przekraczając limitu 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51E5F4CA" w:rsidR="00CD25E5" w:rsidRPr="0028216B" w:rsidRDefault="00050148" w:rsidP="0028216B">
      <w:pPr>
        <w:pStyle w:val="Default"/>
        <w:numPr>
          <w:ilvl w:val="0"/>
          <w:numId w:val="8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§10, §11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6B24FE00" w:rsidR="00B54557" w:rsidRPr="0028216B" w:rsidRDefault="00792921" w:rsidP="0028216B">
      <w:pPr>
        <w:pStyle w:val="Default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EE3166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>skutkować to będzie brakiem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1CFE1667" w:rsidR="00792921" w:rsidRPr="0028216B" w:rsidRDefault="00846131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we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D78427F" w:rsidR="009A2C0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32DC6763" w:rsidR="00050148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4FC7F31C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IZ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FEŁ2027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CAB7087" w14:textId="4265592A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ponownie wykorzystać 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ony rozwojowe,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833839" w14:textId="5FF3CE96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 jeśli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wykorzysta wszystkich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ozwojowych wskazanych w niniejszej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mowie, rozliczenie nastąpi zgodnie z §</w:t>
      </w:r>
      <w:r w:rsidR="00DF608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6B11D69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EE3166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13BFFA01" w:rsidR="003C2B8B" w:rsidRPr="0028216B" w:rsidRDefault="003C2B8B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2DA2A9E1" w14:textId="2A5517AB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kosztów rzeczywistych 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sługi/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gzaminu, </w:t>
      </w:r>
    </w:p>
    <w:p w14:paraId="66C780AB" w14:textId="08ECE590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limitu kwotowego za godzinę zrealizowanej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/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gzaminu,</w:t>
      </w:r>
    </w:p>
    <w:p w14:paraId="185B86C5" w14:textId="099C0FC1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18AE598A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 których mowa w art. 184 ustawy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52D60E30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391468C9" w:rsidR="00050148" w:rsidRPr="0028216B" w:rsidRDefault="00050148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2F3D612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ze wszystkich Bonów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60C5E033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Bonów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Kontrole prowadzone przez Operatora Projektu PSF w odniesieniu do Uczestniczek/Uczestników Projektu są przeprowadzane:</w:t>
      </w:r>
    </w:p>
    <w:p w14:paraId="2D693695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PSF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1D668BF8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 FEŁ2027.</w:t>
      </w:r>
    </w:p>
    <w:p w14:paraId="0EB2E80E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kontroli, audytu, ewaluacji, o której mowa w ust. 1, Uczestniczka/Uczestnik zapewni kontrolerom, audytorom, ewaluatorom oraz 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Jeżeli na podstawie czynności kontrolnych lub podczas wizyt 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EEC82FC" w14:textId="77777777" w:rsidR="00C61897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15C99620" w:rsidR="00C61897" w:rsidRPr="0089226A" w:rsidRDefault="0089226A" w:rsidP="0089226A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89226A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 xml:space="preserve"> Kontrole Uczestniczek/Uczestników będą odbywać się zgodnie z zasadami opisanymi w Załączniku nr </w:t>
      </w:r>
      <w:r w:rsidR="008264AA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6</w:t>
      </w:r>
      <w:r w:rsidR="00BF09A9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 xml:space="preserve"> do Regulaminu Rekrutacji do Projektu.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75640FB9" w:rsidR="002250E3" w:rsidRPr="0028216B" w:rsidRDefault="00050148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7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Fundusze Europejskie dla Łódzkiego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20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21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-202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7"/>
    </w:p>
    <w:p w14:paraId="7490D4F4" w14:textId="1DE21067" w:rsidR="0094549E" w:rsidRPr="00FB4C5B" w:rsidRDefault="0094549E" w:rsidP="00FB4C5B">
      <w:pPr>
        <w:pStyle w:val="Akapitzlist"/>
        <w:numPr>
          <w:ilvl w:val="1"/>
          <w:numId w:val="16"/>
        </w:numPr>
        <w:spacing w:after="0"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8264AA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108BFA74" w:rsidR="001D698E" w:rsidRPr="0028216B" w:rsidRDefault="0034457F" w:rsidP="0028216B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E97318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Wizowej,</w:t>
      </w:r>
    </w:p>
    <w:p w14:paraId="275B4928" w14:textId="6513F51A" w:rsidR="0094549E" w:rsidRPr="0028216B" w:rsidRDefault="0094549E" w:rsidP="0094549E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>
        <w:rPr>
          <w:rFonts w:ascii="Arial" w:hAnsi="Arial" w:cs="Arial"/>
          <w:spacing w:val="6"/>
          <w:sz w:val="24"/>
          <w:szCs w:val="24"/>
        </w:rPr>
        <w:t>6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E97318">
        <w:rPr>
          <w:rFonts w:ascii="Arial" w:hAnsi="Arial" w:cs="Arial"/>
          <w:spacing w:val="6"/>
          <w:sz w:val="24"/>
          <w:szCs w:val="24"/>
        </w:rPr>
        <w:t>ym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6F315F40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07E7CE24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639C671B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4549E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87-93,</w:t>
      </w:r>
    </w:p>
    <w:p w14:paraId="77820971" w14:textId="022C7584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4549E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EA50258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4549E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1788B99C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0727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FEŁ2027 dokonała ostatniej płatności na rzecz</w:t>
      </w:r>
      <w:r w:rsidR="00AE32F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785C10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40727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Okres o którym mowa wyżej, zostaje wstrzymany w przypadku wszczęcia postępowania prawnego albo na wniosek Komisji Europejskiej. 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7184075D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8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8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1F4BCF" w:rsidR="00AA625D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Operator wyznaczył Inspektora Ochrony Danych w osobie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Darii Bartnickiej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pod nr tel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+48 570 940 310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poprzez email pod adresem rodo@hrp.com.pl.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28216B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6F765EF4" w14:textId="25EF746A" w:rsidR="00245391" w:rsidRPr="0028216B" w:rsidRDefault="00F87D3A" w:rsidP="0028216B">
      <w:pPr>
        <w:pStyle w:val="Akapitzlist"/>
        <w:numPr>
          <w:ilvl w:val="0"/>
          <w:numId w:val="19"/>
        </w:numPr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ul. Kilińskiego 185, 90-348 Łódź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r w:rsidR="00B576A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fst@hrp.com.pl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telefon: +48 42 208 06 06</w:t>
      </w:r>
      <w:r w:rsid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8216B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10" w:history="1">
        <w:r w:rsidR="0028216B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28216B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28216B"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lastRenderedPageBreak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107211B6" w14:textId="3F4488E8" w:rsidR="001D698E" w:rsidRPr="0028216B" w:rsidRDefault="00F87D3A" w:rsidP="0028216B">
      <w:pPr>
        <w:spacing w:after="0" w:line="276" w:lineRule="auto"/>
        <w:ind w:left="425" w:firstLine="1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7508B549" w14:textId="4B2DD7BE" w:rsidR="003E2FA9" w:rsidRPr="0028216B" w:rsidRDefault="00F87D3A" w:rsidP="0028216B">
      <w:pPr>
        <w:pStyle w:val="Akapitzlist"/>
        <w:numPr>
          <w:ilvl w:val="0"/>
          <w:numId w:val="19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5411DD44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28216B">
      <w:pPr>
        <w:numPr>
          <w:ilvl w:val="0"/>
          <w:numId w:val="2"/>
        </w:numPr>
        <w:spacing w:after="0" w:line="276" w:lineRule="auto"/>
        <w:ind w:left="425" w:hanging="425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73455210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</w:t>
      </w:r>
      <w:r w:rsidR="00AC55B9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 lub elektronicznej.</w:t>
      </w:r>
      <w:r w:rsidR="00AC55B9">
        <w:rPr>
          <w:rStyle w:val="Odwoanieprzypisudolnego"/>
          <w:rFonts w:ascii="Arial" w:hAnsi="Arial" w:cs="Arial"/>
          <w:color w:val="000000" w:themeColor="text1"/>
          <w:spacing w:val="6"/>
          <w:kern w:val="0"/>
          <w:sz w:val="24"/>
          <w:szCs w:val="24"/>
        </w:rPr>
        <w:footnoteReference w:id="3"/>
      </w:r>
    </w:p>
    <w:p w14:paraId="2D33038A" w14:textId="0C586D8F" w:rsidR="0076724D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16A7BCA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 będzie podlegał rozstrzygnięciu przez sąd powszechny właściwy dla siedziby Operatora.</w:t>
      </w:r>
    </w:p>
    <w:p w14:paraId="5B65A53B" w14:textId="3969DFF5" w:rsidR="003130E8" w:rsidRPr="00DE0AA7" w:rsidRDefault="00F87D3A" w:rsidP="0028216B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Niniejsza Umowa została sporządzona w języku polskim</w:t>
      </w:r>
      <w:r w:rsidR="005D3E19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.</w:t>
      </w:r>
    </w:p>
    <w:p w14:paraId="7F7DBF7A" w14:textId="77777777" w:rsidR="00700017" w:rsidRDefault="00600DAF" w:rsidP="00700017">
      <w:pPr>
        <w:pStyle w:val="Akapitzlist"/>
        <w:numPr>
          <w:ilvl w:val="0"/>
          <w:numId w:val="2"/>
        </w:numPr>
        <w:tabs>
          <w:tab w:val="clear" w:pos="1572"/>
        </w:tabs>
        <w:spacing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 w:rsidRPr="00DE0AA7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</w:p>
    <w:p w14:paraId="26B1E7CC" w14:textId="455290F0" w:rsidR="00792178" w:rsidRPr="00AA60A0" w:rsidRDefault="00700017" w:rsidP="00E12BEA">
      <w:pPr>
        <w:pStyle w:val="Akapitzlist"/>
        <w:numPr>
          <w:ilvl w:val="0"/>
          <w:numId w:val="2"/>
        </w:numPr>
        <w:tabs>
          <w:tab w:val="clear" w:pos="1572"/>
        </w:tabs>
        <w:spacing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 w:rsidRPr="00700017">
        <w:rPr>
          <w:rFonts w:ascii="Arial" w:hAnsi="Arial" w:cs="Arial"/>
          <w:spacing w:val="6"/>
          <w:sz w:val="24"/>
          <w:szCs w:val="24"/>
        </w:rPr>
        <w:t>Integralną część Umowy stanowią następujące załączniki: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>Załącznik nr 1 – Formularz danych Uczestni</w:t>
      </w:r>
      <w:r w:rsidR="00245391" w:rsidRPr="00AA60A0">
        <w:rPr>
          <w:rFonts w:ascii="Arial" w:hAnsi="Arial" w:cs="Arial"/>
          <w:color w:val="000000" w:themeColor="text1"/>
          <w:spacing w:val="6"/>
        </w:rPr>
        <w:t>czki</w:t>
      </w:r>
      <w:r w:rsidR="003130E8" w:rsidRPr="00AA60A0">
        <w:rPr>
          <w:rFonts w:ascii="Arial" w:hAnsi="Arial" w:cs="Arial"/>
          <w:color w:val="000000" w:themeColor="text1"/>
          <w:spacing w:val="6"/>
        </w:rPr>
        <w:t>/Uczestnik</w:t>
      </w:r>
      <w:r w:rsidR="00245391" w:rsidRPr="00AA60A0">
        <w:rPr>
          <w:rFonts w:ascii="Arial" w:hAnsi="Arial" w:cs="Arial"/>
          <w:color w:val="000000" w:themeColor="text1"/>
          <w:spacing w:val="6"/>
        </w:rPr>
        <w:t>a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 xml:space="preserve">Załącznik nr 2 – Oświadczenie </w:t>
      </w:r>
      <w:r w:rsidR="00245391" w:rsidRPr="00AA60A0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AA60A0">
        <w:rPr>
          <w:rFonts w:ascii="Arial" w:hAnsi="Arial" w:cs="Arial"/>
          <w:color w:val="000000" w:themeColor="text1"/>
          <w:spacing w:val="6"/>
        </w:rPr>
        <w:t>Projektu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 xml:space="preserve">Załącznik nr 3 - Oświadczenie </w:t>
      </w:r>
      <w:r w:rsidR="00245391" w:rsidRPr="00AA60A0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AA60A0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</w:p>
    <w:p w14:paraId="7A0D683F" w14:textId="77777777" w:rsidR="00792178" w:rsidRDefault="00792178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DCD5164" w14:textId="77777777" w:rsidR="00AA60A0" w:rsidRDefault="00AA60A0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9332825" w14:textId="77777777" w:rsidR="00AA60A0" w:rsidRDefault="00AA60A0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B03FC2D" w14:textId="18B81610" w:rsidR="0018239B" w:rsidRDefault="003130E8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Załącznik nr 4 – Oświadczenie 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Uczestniczki/Uczestnika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dotyczące środków sankcyjnych w zakresie udzielania wsparci</w:t>
      </w:r>
      <w:r w:rsidR="00572E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</w:p>
    <w:p w14:paraId="00F647E9" w14:textId="3EE4F4CB" w:rsidR="00912B73" w:rsidRPr="0028216B" w:rsidRDefault="00245391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450F573F" w14:textId="13FA1458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1"/>
          <w:footerReference w:type="defaul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26A50303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4E980434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6F46C47B" w14:textId="08EC994C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17D52FF5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33762CBC" w14:textId="689D8FC3" w:rsidR="00B155C5" w:rsidRPr="0028216B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7C38082E" w14:textId="77777777" w:rsidR="00AE3C7C" w:rsidRDefault="00AE3C7C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F46C85" w14:textId="77777777" w:rsidR="00AE3C7C" w:rsidRDefault="00AE3C7C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781F78" w14:textId="0C9EC4E6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B076B9C" w14:textId="527B8157" w:rsidR="00F4022A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5678B2">
        <w:rPr>
          <w:rFonts w:ascii="Arial" w:hAnsi="Arial" w:cs="Arial"/>
          <w:color w:val="000000"/>
          <w:sz w:val="24"/>
          <w:szCs w:val="24"/>
        </w:rPr>
        <w:t xml:space="preserve"> </w:t>
      </w:r>
      <w:r w:rsidR="005678B2">
        <w:rPr>
          <w:rFonts w:ascii="Arial" w:hAnsi="Arial" w:cs="Arial"/>
          <w:spacing w:val="6"/>
          <w:vertAlign w:val="subscript"/>
        </w:rPr>
        <w:t>/</w:t>
      </w:r>
      <w:r w:rsidR="005678B2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012097C0" w14:textId="77777777" w:rsidR="005678B2" w:rsidRPr="00DE0AA7" w:rsidRDefault="005678B2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1A88CA63" w14:textId="097BE03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1FD4ED54" w14:textId="0F451220" w:rsidR="005678B2" w:rsidRPr="009D31A4" w:rsidRDefault="005678B2" w:rsidP="005678B2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bookmarkStart w:id="9" w:name="_Hlk175729363"/>
      <w:r>
        <w:rPr>
          <w:rFonts w:ascii="Arial" w:hAnsi="Arial" w:cs="Arial"/>
          <w:spacing w:val="6"/>
          <w:vertAlign w:val="subscript"/>
        </w:rPr>
        <w:t>/</w:t>
      </w:r>
    </w:p>
    <w:bookmarkEnd w:id="9"/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5678B2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496BD" w14:textId="77777777" w:rsidR="00A25D8E" w:rsidRDefault="00A25D8E" w:rsidP="00050148">
      <w:pPr>
        <w:spacing w:after="0" w:line="240" w:lineRule="auto"/>
      </w:pPr>
      <w:r>
        <w:separator/>
      </w:r>
    </w:p>
  </w:endnote>
  <w:endnote w:type="continuationSeparator" w:id="0">
    <w:p w14:paraId="7A0B4F4F" w14:textId="77777777" w:rsidR="00A25D8E" w:rsidRDefault="00A25D8E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36E32AF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E75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F1A8F" w14:textId="77777777" w:rsidR="00A25D8E" w:rsidRDefault="00A25D8E" w:rsidP="00050148">
      <w:pPr>
        <w:spacing w:after="0" w:line="240" w:lineRule="auto"/>
      </w:pPr>
      <w:r>
        <w:separator/>
      </w:r>
    </w:p>
  </w:footnote>
  <w:footnote w:type="continuationSeparator" w:id="0">
    <w:p w14:paraId="421F46F0" w14:textId="77777777" w:rsidR="00A25D8E" w:rsidRDefault="00A25D8E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  <w:footnote w:id="3">
    <w:p w14:paraId="2BFAB17F" w14:textId="337890AD" w:rsidR="00AC55B9" w:rsidRDefault="00AC55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038950A0" w:rsidR="00050148" w:rsidRDefault="00792A3F" w:rsidP="007775C2">
    <w:pPr>
      <w:pStyle w:val="Nagwek"/>
      <w:tabs>
        <w:tab w:val="left" w:pos="530"/>
        <w:tab w:val="left" w:pos="5130"/>
      </w:tabs>
      <w:jc w:val="center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42761DE2">
          <wp:extent cx="5760720" cy="808394"/>
          <wp:effectExtent l="0" t="0" r="0" b="0"/>
          <wp:docPr id="981312641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7286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DDE8C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98033">
    <w:abstractNumId w:val="15"/>
  </w:num>
  <w:num w:numId="2" w16cid:durableId="489446073">
    <w:abstractNumId w:val="6"/>
  </w:num>
  <w:num w:numId="3" w16cid:durableId="551188021">
    <w:abstractNumId w:val="8"/>
  </w:num>
  <w:num w:numId="4" w16cid:durableId="1166626301">
    <w:abstractNumId w:val="4"/>
  </w:num>
  <w:num w:numId="5" w16cid:durableId="621306404">
    <w:abstractNumId w:val="13"/>
  </w:num>
  <w:num w:numId="6" w16cid:durableId="2100176348">
    <w:abstractNumId w:val="22"/>
  </w:num>
  <w:num w:numId="7" w16cid:durableId="560988303">
    <w:abstractNumId w:val="12"/>
  </w:num>
  <w:num w:numId="8" w16cid:durableId="866605241">
    <w:abstractNumId w:val="9"/>
  </w:num>
  <w:num w:numId="9" w16cid:durableId="691493083">
    <w:abstractNumId w:val="18"/>
  </w:num>
  <w:num w:numId="10" w16cid:durableId="1107391435">
    <w:abstractNumId w:val="11"/>
  </w:num>
  <w:num w:numId="11" w16cid:durableId="2016490418">
    <w:abstractNumId w:val="3"/>
  </w:num>
  <w:num w:numId="12" w16cid:durableId="1655992442">
    <w:abstractNumId w:val="0"/>
  </w:num>
  <w:num w:numId="13" w16cid:durableId="1323194728">
    <w:abstractNumId w:val="2"/>
  </w:num>
  <w:num w:numId="14" w16cid:durableId="1311666473">
    <w:abstractNumId w:val="20"/>
  </w:num>
  <w:num w:numId="15" w16cid:durableId="302269416">
    <w:abstractNumId w:val="19"/>
  </w:num>
  <w:num w:numId="16" w16cid:durableId="1582593460">
    <w:abstractNumId w:val="10"/>
  </w:num>
  <w:num w:numId="17" w16cid:durableId="907878890">
    <w:abstractNumId w:val="21"/>
  </w:num>
  <w:num w:numId="18" w16cid:durableId="989871669">
    <w:abstractNumId w:val="17"/>
  </w:num>
  <w:num w:numId="19" w16cid:durableId="408575313">
    <w:abstractNumId w:val="14"/>
  </w:num>
  <w:num w:numId="20" w16cid:durableId="362511995">
    <w:abstractNumId w:val="1"/>
  </w:num>
  <w:num w:numId="21" w16cid:durableId="136649668">
    <w:abstractNumId w:val="16"/>
  </w:num>
  <w:num w:numId="22" w16cid:durableId="1447626416">
    <w:abstractNumId w:val="5"/>
  </w:num>
  <w:num w:numId="23" w16cid:durableId="151375770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6752"/>
    <w:rsid w:val="0000745D"/>
    <w:rsid w:val="0001321D"/>
    <w:rsid w:val="00013D2E"/>
    <w:rsid w:val="00015AA4"/>
    <w:rsid w:val="00017DA8"/>
    <w:rsid w:val="00022732"/>
    <w:rsid w:val="00022759"/>
    <w:rsid w:val="00042584"/>
    <w:rsid w:val="00045FEB"/>
    <w:rsid w:val="00050148"/>
    <w:rsid w:val="00057473"/>
    <w:rsid w:val="00071191"/>
    <w:rsid w:val="00071951"/>
    <w:rsid w:val="00076052"/>
    <w:rsid w:val="000A451C"/>
    <w:rsid w:val="000A4991"/>
    <w:rsid w:val="000C0B82"/>
    <w:rsid w:val="000C16D2"/>
    <w:rsid w:val="000E331A"/>
    <w:rsid w:val="000E6D83"/>
    <w:rsid w:val="000F1C48"/>
    <w:rsid w:val="00102A0C"/>
    <w:rsid w:val="00124AB7"/>
    <w:rsid w:val="0012719F"/>
    <w:rsid w:val="001328DE"/>
    <w:rsid w:val="00133A05"/>
    <w:rsid w:val="001526B8"/>
    <w:rsid w:val="00162D12"/>
    <w:rsid w:val="0017220F"/>
    <w:rsid w:val="0018239B"/>
    <w:rsid w:val="00182ECC"/>
    <w:rsid w:val="001A1F0C"/>
    <w:rsid w:val="001B2015"/>
    <w:rsid w:val="001C0CC8"/>
    <w:rsid w:val="001C53DB"/>
    <w:rsid w:val="001D15C7"/>
    <w:rsid w:val="001D5C60"/>
    <w:rsid w:val="001D698E"/>
    <w:rsid w:val="001E645A"/>
    <w:rsid w:val="001E64A3"/>
    <w:rsid w:val="001E6A13"/>
    <w:rsid w:val="001F20FE"/>
    <w:rsid w:val="00200AB2"/>
    <w:rsid w:val="0021312A"/>
    <w:rsid w:val="002250E3"/>
    <w:rsid w:val="00225809"/>
    <w:rsid w:val="00245391"/>
    <w:rsid w:val="002610FE"/>
    <w:rsid w:val="00264AEF"/>
    <w:rsid w:val="00280A54"/>
    <w:rsid w:val="0028216B"/>
    <w:rsid w:val="00294B53"/>
    <w:rsid w:val="002B588B"/>
    <w:rsid w:val="002C15F6"/>
    <w:rsid w:val="002E231A"/>
    <w:rsid w:val="002E523C"/>
    <w:rsid w:val="00302844"/>
    <w:rsid w:val="003079DD"/>
    <w:rsid w:val="003130E8"/>
    <w:rsid w:val="00314645"/>
    <w:rsid w:val="00344425"/>
    <w:rsid w:val="0034457F"/>
    <w:rsid w:val="00346C83"/>
    <w:rsid w:val="00353DA2"/>
    <w:rsid w:val="00367501"/>
    <w:rsid w:val="003740C3"/>
    <w:rsid w:val="00380D72"/>
    <w:rsid w:val="00386214"/>
    <w:rsid w:val="00393DF0"/>
    <w:rsid w:val="003B3FF1"/>
    <w:rsid w:val="003B587D"/>
    <w:rsid w:val="003B68C3"/>
    <w:rsid w:val="003C2B8B"/>
    <w:rsid w:val="003D0521"/>
    <w:rsid w:val="003D0C75"/>
    <w:rsid w:val="003E2FA9"/>
    <w:rsid w:val="003E3DA0"/>
    <w:rsid w:val="003E6A5A"/>
    <w:rsid w:val="00404E60"/>
    <w:rsid w:val="00407276"/>
    <w:rsid w:val="0041051D"/>
    <w:rsid w:val="004133F7"/>
    <w:rsid w:val="00420DF8"/>
    <w:rsid w:val="00422F02"/>
    <w:rsid w:val="0042306B"/>
    <w:rsid w:val="00423D0A"/>
    <w:rsid w:val="00423F61"/>
    <w:rsid w:val="004305DA"/>
    <w:rsid w:val="00450A4C"/>
    <w:rsid w:val="00493DAF"/>
    <w:rsid w:val="004A4CE9"/>
    <w:rsid w:val="004D79FE"/>
    <w:rsid w:val="004E279C"/>
    <w:rsid w:val="004F03DA"/>
    <w:rsid w:val="004F69C1"/>
    <w:rsid w:val="00512588"/>
    <w:rsid w:val="00515597"/>
    <w:rsid w:val="00541E5E"/>
    <w:rsid w:val="005524FE"/>
    <w:rsid w:val="0055406C"/>
    <w:rsid w:val="005678B2"/>
    <w:rsid w:val="00567FCD"/>
    <w:rsid w:val="00572E14"/>
    <w:rsid w:val="0057350F"/>
    <w:rsid w:val="00587DD2"/>
    <w:rsid w:val="005976C3"/>
    <w:rsid w:val="00597B09"/>
    <w:rsid w:val="005A44F3"/>
    <w:rsid w:val="005B5C31"/>
    <w:rsid w:val="005C51EF"/>
    <w:rsid w:val="005D3E19"/>
    <w:rsid w:val="005E06F6"/>
    <w:rsid w:val="005F115A"/>
    <w:rsid w:val="005F6916"/>
    <w:rsid w:val="00600DAF"/>
    <w:rsid w:val="00607E57"/>
    <w:rsid w:val="0061060C"/>
    <w:rsid w:val="00634A06"/>
    <w:rsid w:val="0064600A"/>
    <w:rsid w:val="00651C8C"/>
    <w:rsid w:val="0066529B"/>
    <w:rsid w:val="00677D74"/>
    <w:rsid w:val="006D20FD"/>
    <w:rsid w:val="006E3552"/>
    <w:rsid w:val="006E57E5"/>
    <w:rsid w:val="00700017"/>
    <w:rsid w:val="007015FD"/>
    <w:rsid w:val="0070692A"/>
    <w:rsid w:val="00707C30"/>
    <w:rsid w:val="00710CEF"/>
    <w:rsid w:val="00712F53"/>
    <w:rsid w:val="00713F5D"/>
    <w:rsid w:val="00715754"/>
    <w:rsid w:val="00715D9C"/>
    <w:rsid w:val="007241AD"/>
    <w:rsid w:val="00731164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5C10"/>
    <w:rsid w:val="00787F39"/>
    <w:rsid w:val="00792178"/>
    <w:rsid w:val="00792334"/>
    <w:rsid w:val="00792921"/>
    <w:rsid w:val="00792A3F"/>
    <w:rsid w:val="007A43F7"/>
    <w:rsid w:val="007A6956"/>
    <w:rsid w:val="007B2BAA"/>
    <w:rsid w:val="007B7189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16AB1"/>
    <w:rsid w:val="008264AA"/>
    <w:rsid w:val="00846131"/>
    <w:rsid w:val="0085783D"/>
    <w:rsid w:val="00866588"/>
    <w:rsid w:val="00866D3B"/>
    <w:rsid w:val="00867480"/>
    <w:rsid w:val="008747F4"/>
    <w:rsid w:val="00881B8D"/>
    <w:rsid w:val="00884552"/>
    <w:rsid w:val="00884FE2"/>
    <w:rsid w:val="00886BC9"/>
    <w:rsid w:val="00887768"/>
    <w:rsid w:val="0089226A"/>
    <w:rsid w:val="00895DB6"/>
    <w:rsid w:val="008A44A6"/>
    <w:rsid w:val="008A71FB"/>
    <w:rsid w:val="008B554D"/>
    <w:rsid w:val="008D0AA7"/>
    <w:rsid w:val="008D230B"/>
    <w:rsid w:val="008D4944"/>
    <w:rsid w:val="008D581F"/>
    <w:rsid w:val="008E30F2"/>
    <w:rsid w:val="009048F6"/>
    <w:rsid w:val="00912B73"/>
    <w:rsid w:val="009222A2"/>
    <w:rsid w:val="00932B69"/>
    <w:rsid w:val="00933AA3"/>
    <w:rsid w:val="00937391"/>
    <w:rsid w:val="0094026F"/>
    <w:rsid w:val="009408A9"/>
    <w:rsid w:val="00942FE2"/>
    <w:rsid w:val="0094549E"/>
    <w:rsid w:val="00973110"/>
    <w:rsid w:val="0098691E"/>
    <w:rsid w:val="00987F36"/>
    <w:rsid w:val="009A12E5"/>
    <w:rsid w:val="009A2C09"/>
    <w:rsid w:val="009A458F"/>
    <w:rsid w:val="009A5A32"/>
    <w:rsid w:val="009B20BF"/>
    <w:rsid w:val="009B2661"/>
    <w:rsid w:val="009B2F21"/>
    <w:rsid w:val="009B5928"/>
    <w:rsid w:val="009C0AA4"/>
    <w:rsid w:val="009D3496"/>
    <w:rsid w:val="009D5C4C"/>
    <w:rsid w:val="009E14A4"/>
    <w:rsid w:val="009E30AE"/>
    <w:rsid w:val="009F16B8"/>
    <w:rsid w:val="009F3F09"/>
    <w:rsid w:val="00A07D0C"/>
    <w:rsid w:val="00A252B2"/>
    <w:rsid w:val="00A25D8E"/>
    <w:rsid w:val="00A4703D"/>
    <w:rsid w:val="00A6035B"/>
    <w:rsid w:val="00A610DC"/>
    <w:rsid w:val="00A618D0"/>
    <w:rsid w:val="00A74EAA"/>
    <w:rsid w:val="00A952F4"/>
    <w:rsid w:val="00AA60A0"/>
    <w:rsid w:val="00AA625D"/>
    <w:rsid w:val="00AB6EBA"/>
    <w:rsid w:val="00AC55B9"/>
    <w:rsid w:val="00AD6878"/>
    <w:rsid w:val="00AE32F6"/>
    <w:rsid w:val="00AE3C7C"/>
    <w:rsid w:val="00B021AD"/>
    <w:rsid w:val="00B03230"/>
    <w:rsid w:val="00B155C5"/>
    <w:rsid w:val="00B27B3C"/>
    <w:rsid w:val="00B332E3"/>
    <w:rsid w:val="00B402D4"/>
    <w:rsid w:val="00B409C0"/>
    <w:rsid w:val="00B473EF"/>
    <w:rsid w:val="00B54557"/>
    <w:rsid w:val="00B576AD"/>
    <w:rsid w:val="00B6019D"/>
    <w:rsid w:val="00B71698"/>
    <w:rsid w:val="00B73F11"/>
    <w:rsid w:val="00BA22A6"/>
    <w:rsid w:val="00BC5669"/>
    <w:rsid w:val="00BD3B6A"/>
    <w:rsid w:val="00BD613C"/>
    <w:rsid w:val="00BE14EB"/>
    <w:rsid w:val="00BE1BAB"/>
    <w:rsid w:val="00BF09A9"/>
    <w:rsid w:val="00C10C7A"/>
    <w:rsid w:val="00C22719"/>
    <w:rsid w:val="00C344F2"/>
    <w:rsid w:val="00C379E1"/>
    <w:rsid w:val="00C40A63"/>
    <w:rsid w:val="00C46601"/>
    <w:rsid w:val="00C5355A"/>
    <w:rsid w:val="00C57ED1"/>
    <w:rsid w:val="00C61897"/>
    <w:rsid w:val="00C70D03"/>
    <w:rsid w:val="00C71896"/>
    <w:rsid w:val="00C72A4A"/>
    <w:rsid w:val="00C91CD6"/>
    <w:rsid w:val="00C93FFE"/>
    <w:rsid w:val="00CA0EEA"/>
    <w:rsid w:val="00CA55D2"/>
    <w:rsid w:val="00CB4A00"/>
    <w:rsid w:val="00CC4DA1"/>
    <w:rsid w:val="00CC6205"/>
    <w:rsid w:val="00CD25E5"/>
    <w:rsid w:val="00CD5358"/>
    <w:rsid w:val="00CD54ED"/>
    <w:rsid w:val="00CF5AA8"/>
    <w:rsid w:val="00D01B4D"/>
    <w:rsid w:val="00D02F83"/>
    <w:rsid w:val="00D0346C"/>
    <w:rsid w:val="00D0478A"/>
    <w:rsid w:val="00D12600"/>
    <w:rsid w:val="00D13E75"/>
    <w:rsid w:val="00D21315"/>
    <w:rsid w:val="00D300FD"/>
    <w:rsid w:val="00D435BD"/>
    <w:rsid w:val="00D44050"/>
    <w:rsid w:val="00D45614"/>
    <w:rsid w:val="00D54340"/>
    <w:rsid w:val="00D741B1"/>
    <w:rsid w:val="00D925BF"/>
    <w:rsid w:val="00D93BFA"/>
    <w:rsid w:val="00D966D9"/>
    <w:rsid w:val="00DB28BB"/>
    <w:rsid w:val="00DC5B7A"/>
    <w:rsid w:val="00DD31AF"/>
    <w:rsid w:val="00DE0AA7"/>
    <w:rsid w:val="00DF311C"/>
    <w:rsid w:val="00DF6080"/>
    <w:rsid w:val="00DF6C11"/>
    <w:rsid w:val="00E05A00"/>
    <w:rsid w:val="00E12BEA"/>
    <w:rsid w:val="00E13EF6"/>
    <w:rsid w:val="00E142A0"/>
    <w:rsid w:val="00E24131"/>
    <w:rsid w:val="00E30053"/>
    <w:rsid w:val="00E46434"/>
    <w:rsid w:val="00E47A7E"/>
    <w:rsid w:val="00E63BFE"/>
    <w:rsid w:val="00E7062B"/>
    <w:rsid w:val="00E70EBB"/>
    <w:rsid w:val="00E72128"/>
    <w:rsid w:val="00E80EE1"/>
    <w:rsid w:val="00E87512"/>
    <w:rsid w:val="00E96AB7"/>
    <w:rsid w:val="00E97318"/>
    <w:rsid w:val="00EA0914"/>
    <w:rsid w:val="00EA2F95"/>
    <w:rsid w:val="00EA3B1F"/>
    <w:rsid w:val="00EA50AE"/>
    <w:rsid w:val="00EA5656"/>
    <w:rsid w:val="00EB0EFA"/>
    <w:rsid w:val="00EB556F"/>
    <w:rsid w:val="00EC6367"/>
    <w:rsid w:val="00EC678A"/>
    <w:rsid w:val="00EE3166"/>
    <w:rsid w:val="00F138C5"/>
    <w:rsid w:val="00F20917"/>
    <w:rsid w:val="00F221EF"/>
    <w:rsid w:val="00F31F7F"/>
    <w:rsid w:val="00F32B72"/>
    <w:rsid w:val="00F34412"/>
    <w:rsid w:val="00F4022A"/>
    <w:rsid w:val="00F547C5"/>
    <w:rsid w:val="00F6155C"/>
    <w:rsid w:val="00F76116"/>
    <w:rsid w:val="00F76118"/>
    <w:rsid w:val="00F76994"/>
    <w:rsid w:val="00F87D3A"/>
    <w:rsid w:val="00FA304B"/>
    <w:rsid w:val="00FA79CA"/>
    <w:rsid w:val="00FB12E5"/>
    <w:rsid w:val="00FB4C5B"/>
    <w:rsid w:val="00FB7B2A"/>
    <w:rsid w:val="00FC1415"/>
    <w:rsid w:val="00FC510B"/>
    <w:rsid w:val="00FD08ED"/>
    <w:rsid w:val="00FD693E"/>
    <w:rsid w:val="00FE0AFE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4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riph.radomsko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29BD-3AB7-42AB-BE01-414A9E43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3508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20</cp:revision>
  <dcterms:created xsi:type="dcterms:W3CDTF">2024-09-18T11:47:00Z</dcterms:created>
  <dcterms:modified xsi:type="dcterms:W3CDTF">2024-12-05T08:11:00Z</dcterms:modified>
</cp:coreProperties>
</file>