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F8263A" w14:textId="77777777" w:rsidR="00190979" w:rsidRPr="00C03489" w:rsidRDefault="00190979" w:rsidP="00EF4044">
      <w:pPr>
        <w:pStyle w:val="Default"/>
        <w:rPr>
          <w:rFonts w:ascii="Arial Narrow" w:hAnsi="Arial Narrow" w:cs="Arial"/>
          <w:b/>
          <w:bCs/>
          <w:sz w:val="20"/>
          <w:szCs w:val="20"/>
        </w:rPr>
      </w:pPr>
    </w:p>
    <w:p w14:paraId="26DF2FED" w14:textId="77777777" w:rsidR="00EB05EE" w:rsidRPr="00C03489" w:rsidRDefault="00EB05EE" w:rsidP="00EB05EE">
      <w:pPr>
        <w:autoSpaceDE w:val="0"/>
        <w:autoSpaceDN w:val="0"/>
        <w:adjustRightInd w:val="0"/>
        <w:rPr>
          <w:rFonts w:ascii="Arial Narrow" w:eastAsiaTheme="minorHAnsi" w:hAnsi="Arial Narrow" w:cs="Calibri"/>
          <w:b/>
          <w:color w:val="000000"/>
          <w:lang w:eastAsia="en-US"/>
        </w:rPr>
      </w:pPr>
    </w:p>
    <w:p w14:paraId="5B3E5B0E" w14:textId="77777777" w:rsidR="00EB05EE" w:rsidRPr="00C03489" w:rsidRDefault="00EB05EE" w:rsidP="00EB05EE">
      <w:pPr>
        <w:autoSpaceDE w:val="0"/>
        <w:autoSpaceDN w:val="0"/>
        <w:adjustRightInd w:val="0"/>
        <w:jc w:val="center"/>
        <w:rPr>
          <w:rFonts w:ascii="Arial Narrow" w:eastAsiaTheme="minorHAnsi" w:hAnsi="Arial Narrow" w:cs="Calibri"/>
          <w:b/>
          <w:color w:val="000000"/>
          <w:u w:val="single"/>
          <w:lang w:eastAsia="en-US"/>
        </w:rPr>
      </w:pPr>
      <w:r w:rsidRPr="00C03489">
        <w:rPr>
          <w:rFonts w:ascii="Arial Narrow" w:eastAsiaTheme="minorHAnsi" w:hAnsi="Arial Narrow" w:cs="Calibri"/>
          <w:b/>
          <w:color w:val="000000"/>
          <w:u w:val="single"/>
          <w:lang w:eastAsia="en-US"/>
        </w:rPr>
        <w:t>INFORMACJE DOTYCZĄCE ZABEZPIECZENIA</w:t>
      </w:r>
    </w:p>
    <w:p w14:paraId="02381EA0" w14:textId="77777777" w:rsidR="00EB05EE" w:rsidRPr="00C03489" w:rsidRDefault="00EB05EE" w:rsidP="00EB05EE">
      <w:pPr>
        <w:autoSpaceDE w:val="0"/>
        <w:autoSpaceDN w:val="0"/>
        <w:adjustRightInd w:val="0"/>
        <w:jc w:val="center"/>
        <w:rPr>
          <w:rFonts w:ascii="Arial Narrow" w:eastAsiaTheme="minorHAnsi" w:hAnsi="Arial Narrow" w:cs="Calibri"/>
          <w:b/>
          <w:color w:val="000000"/>
          <w:u w:val="single"/>
          <w:lang w:eastAsia="en-US"/>
        </w:rPr>
      </w:pPr>
    </w:p>
    <w:p w14:paraId="3DFBA13D" w14:textId="77777777" w:rsidR="00EB05EE" w:rsidRPr="00C03489" w:rsidRDefault="00EB05EE" w:rsidP="00C0348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8"/>
        <w:ind w:left="426" w:hanging="426"/>
        <w:jc w:val="both"/>
        <w:rPr>
          <w:rFonts w:ascii="Arial Narrow" w:hAnsi="Arial Narrow" w:cs="Calibri"/>
          <w:color w:val="000000"/>
          <w:sz w:val="20"/>
          <w:szCs w:val="20"/>
        </w:rPr>
      </w:pPr>
      <w:r w:rsidRPr="00C03489">
        <w:rPr>
          <w:rFonts w:ascii="Arial Narrow" w:hAnsi="Arial Narrow" w:cs="Calibri"/>
          <w:color w:val="000000"/>
          <w:sz w:val="20"/>
          <w:szCs w:val="20"/>
        </w:rPr>
        <w:t>Warunkiem wypłaty podstawowego wsparcia finansowego i podstawowego wsparcia pomostowego jest wniesienie przez Uczestnika projektu zabezpieczenia prawidłowego wykonania umowy w p</w:t>
      </w:r>
      <w:r w:rsidRPr="00C03489">
        <w:rPr>
          <w:rFonts w:ascii="Arial Narrow" w:hAnsi="Arial Narrow" w:cs="Calibri"/>
          <w:b/>
          <w:color w:val="000000"/>
          <w:sz w:val="20"/>
          <w:szCs w:val="20"/>
        </w:rPr>
        <w:t>ostaci weksla in blanco z poręczeniem wekslowym (</w:t>
      </w:r>
      <w:proofErr w:type="spellStart"/>
      <w:r w:rsidRPr="00C03489">
        <w:rPr>
          <w:rFonts w:ascii="Arial Narrow" w:hAnsi="Arial Narrow" w:cs="Calibri"/>
          <w:b/>
          <w:color w:val="000000"/>
          <w:sz w:val="20"/>
          <w:szCs w:val="20"/>
        </w:rPr>
        <w:t>aval</w:t>
      </w:r>
      <w:proofErr w:type="spellEnd"/>
      <w:r w:rsidRPr="00C03489">
        <w:rPr>
          <w:rFonts w:ascii="Arial Narrow" w:hAnsi="Arial Narrow" w:cs="Calibri"/>
          <w:b/>
          <w:color w:val="000000"/>
          <w:sz w:val="20"/>
          <w:szCs w:val="20"/>
        </w:rPr>
        <w:t xml:space="preserve">) </w:t>
      </w:r>
      <w:r w:rsidRPr="00C03489">
        <w:rPr>
          <w:rFonts w:ascii="Arial Narrow" w:hAnsi="Arial Narrow" w:cs="Calibri"/>
          <w:color w:val="000000"/>
          <w:sz w:val="20"/>
          <w:szCs w:val="20"/>
        </w:rPr>
        <w:t xml:space="preserve">w terminie do 5 dni od dnia podpisania umowy. </w:t>
      </w:r>
    </w:p>
    <w:p w14:paraId="79657514" w14:textId="77777777" w:rsidR="00EB05EE" w:rsidRPr="00C03489" w:rsidRDefault="00EB05EE" w:rsidP="00C0348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8"/>
        <w:ind w:left="426" w:hanging="426"/>
        <w:jc w:val="both"/>
        <w:rPr>
          <w:rFonts w:ascii="Arial Narrow" w:hAnsi="Arial Narrow" w:cs="Calibri"/>
          <w:color w:val="000000"/>
          <w:sz w:val="20"/>
          <w:szCs w:val="20"/>
        </w:rPr>
      </w:pPr>
      <w:r w:rsidRPr="00C03489">
        <w:rPr>
          <w:rFonts w:ascii="Arial Narrow" w:hAnsi="Arial Narrow" w:cs="Calibri"/>
          <w:color w:val="000000"/>
          <w:sz w:val="20"/>
          <w:szCs w:val="20"/>
        </w:rPr>
        <w:t xml:space="preserve">Osoba poręczająca weksel, o którym mowa w pkt 1, powinna mieć ukończone 18 lat, uzyskiwać stałe dochody </w:t>
      </w:r>
      <w:r w:rsidR="005C1B84">
        <w:rPr>
          <w:rFonts w:ascii="Arial Narrow" w:hAnsi="Arial Narrow" w:cs="Calibri"/>
          <w:color w:val="000000"/>
          <w:sz w:val="20"/>
          <w:szCs w:val="20"/>
        </w:rPr>
        <w:br/>
      </w:r>
      <w:r w:rsidRPr="00C03489">
        <w:rPr>
          <w:rFonts w:ascii="Arial Narrow" w:hAnsi="Arial Narrow" w:cs="Calibri"/>
          <w:color w:val="000000"/>
          <w:sz w:val="20"/>
          <w:szCs w:val="20"/>
        </w:rPr>
        <w:t xml:space="preserve">w wysokości min. 3 </w:t>
      </w:r>
      <w:r w:rsidR="005C1B84">
        <w:rPr>
          <w:rFonts w:ascii="Arial Narrow" w:hAnsi="Arial Narrow" w:cs="Calibri"/>
          <w:color w:val="000000"/>
          <w:sz w:val="20"/>
          <w:szCs w:val="20"/>
        </w:rPr>
        <w:t>5</w:t>
      </w:r>
      <w:r w:rsidRPr="00C03489">
        <w:rPr>
          <w:rFonts w:ascii="Arial Narrow" w:hAnsi="Arial Narrow" w:cs="Calibri"/>
          <w:color w:val="000000"/>
          <w:sz w:val="20"/>
          <w:szCs w:val="20"/>
        </w:rPr>
        <w:t xml:space="preserve">00,00 zł brutto/miesiąc z zastrzeżeniem pkt. 4., nie może być małżonkiem Wnioskodawcy wnioskującego o środki na podjęcie działalności gospodarczej (nie dotyczy to </w:t>
      </w:r>
      <w:r w:rsidR="00C03489" w:rsidRPr="00C03489">
        <w:rPr>
          <w:rFonts w:ascii="Arial Narrow" w:hAnsi="Arial Narrow" w:cs="Calibri"/>
          <w:color w:val="000000"/>
          <w:sz w:val="20"/>
          <w:szCs w:val="20"/>
        </w:rPr>
        <w:t>sytuacji,</w:t>
      </w:r>
      <w:r w:rsidRPr="00C03489">
        <w:rPr>
          <w:rFonts w:ascii="Arial Narrow" w:hAnsi="Arial Narrow" w:cs="Calibri"/>
          <w:color w:val="000000"/>
          <w:sz w:val="20"/>
          <w:szCs w:val="20"/>
        </w:rPr>
        <w:t xml:space="preserve"> gdy między małżonkami istnieje rozdzielność majątkowa małżeńska). </w:t>
      </w:r>
    </w:p>
    <w:p w14:paraId="444981E4" w14:textId="77777777" w:rsidR="00EB05EE" w:rsidRPr="00C03489" w:rsidRDefault="00EB05EE" w:rsidP="00C0348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8"/>
        <w:ind w:left="426" w:hanging="426"/>
        <w:jc w:val="both"/>
        <w:rPr>
          <w:rFonts w:ascii="Arial Narrow" w:hAnsi="Arial Narrow" w:cs="Calibri"/>
          <w:color w:val="000000"/>
          <w:sz w:val="20"/>
          <w:szCs w:val="20"/>
        </w:rPr>
      </w:pPr>
      <w:r w:rsidRPr="00C03489">
        <w:rPr>
          <w:rFonts w:ascii="Arial Narrow" w:hAnsi="Arial Narrow" w:cs="Calibri"/>
          <w:color w:val="000000"/>
          <w:sz w:val="20"/>
          <w:szCs w:val="20"/>
        </w:rPr>
        <w:t xml:space="preserve">Poręczenie przez osobę fizyczną wymaga złożenia oświadczenia przez współmałżonka poręczyciela, wyrażonego </w:t>
      </w:r>
      <w:r w:rsidR="005C1B84">
        <w:rPr>
          <w:rFonts w:ascii="Arial Narrow" w:hAnsi="Arial Narrow" w:cs="Calibri"/>
          <w:color w:val="000000"/>
          <w:sz w:val="20"/>
          <w:szCs w:val="20"/>
        </w:rPr>
        <w:br/>
      </w:r>
      <w:r w:rsidRPr="00C03489">
        <w:rPr>
          <w:rFonts w:ascii="Arial Narrow" w:hAnsi="Arial Narrow" w:cs="Calibri"/>
          <w:color w:val="000000"/>
          <w:sz w:val="20"/>
          <w:szCs w:val="20"/>
        </w:rPr>
        <w:t xml:space="preserve">w formie pisemnej (nie dotyczy to </w:t>
      </w:r>
      <w:r w:rsidR="00C03489" w:rsidRPr="00C03489">
        <w:rPr>
          <w:rFonts w:ascii="Arial Narrow" w:hAnsi="Arial Narrow" w:cs="Calibri"/>
          <w:color w:val="000000"/>
          <w:sz w:val="20"/>
          <w:szCs w:val="20"/>
        </w:rPr>
        <w:t>sytuacji,</w:t>
      </w:r>
      <w:r w:rsidRPr="00C03489">
        <w:rPr>
          <w:rFonts w:ascii="Arial Narrow" w:hAnsi="Arial Narrow" w:cs="Calibri"/>
          <w:color w:val="000000"/>
          <w:sz w:val="20"/>
          <w:szCs w:val="20"/>
        </w:rPr>
        <w:t xml:space="preserve"> gdy między małżonkami istnieje rozdzielność majątkowa małżeńska). </w:t>
      </w:r>
    </w:p>
    <w:p w14:paraId="5308EAF5" w14:textId="77777777" w:rsidR="00EB05EE" w:rsidRPr="00C03489" w:rsidRDefault="00EB05EE" w:rsidP="00C0348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8"/>
        <w:ind w:left="426" w:hanging="426"/>
        <w:jc w:val="both"/>
        <w:rPr>
          <w:rFonts w:ascii="Arial Narrow" w:hAnsi="Arial Narrow" w:cs="Calibri"/>
          <w:color w:val="000000"/>
          <w:sz w:val="20"/>
          <w:szCs w:val="20"/>
        </w:rPr>
      </w:pPr>
      <w:r w:rsidRPr="00C03489">
        <w:rPr>
          <w:rFonts w:ascii="Arial Narrow" w:hAnsi="Arial Narrow" w:cs="Calibri"/>
          <w:color w:val="000000"/>
          <w:sz w:val="20"/>
          <w:szCs w:val="20"/>
        </w:rPr>
        <w:t>W przypadku braku poręczyciela określonego w pkt 2, Uczestnik projektu powinien przedłożyć Realizatorowi podanie wraz z uzasadnieniem i opisem indywidualnej sytuacji Uczestnika projektu. Każda prośba dotycząca przyznania możliwości wniesienia zabezpieczenia realizacji umowy w formie innej niż ustalona w pkt</w:t>
      </w:r>
      <w:r w:rsidR="005C1B84">
        <w:rPr>
          <w:rFonts w:ascii="Arial Narrow" w:hAnsi="Arial Narrow" w:cs="Calibri"/>
          <w:color w:val="000000"/>
          <w:sz w:val="20"/>
          <w:szCs w:val="20"/>
        </w:rPr>
        <w:t xml:space="preserve"> </w:t>
      </w:r>
      <w:r w:rsidRPr="00C03489">
        <w:rPr>
          <w:rFonts w:ascii="Arial Narrow" w:hAnsi="Arial Narrow" w:cs="Calibri"/>
          <w:color w:val="000000"/>
          <w:sz w:val="20"/>
          <w:szCs w:val="20"/>
        </w:rPr>
        <w:t xml:space="preserve">1 jest rozpatrywana indywidualnie w terminie do 5 dni roboczych od daty złożenia podania do Biura Projektu. Realizator może odmówić udzielenia zgody na proponowaną przez Beneficjenta pomocy formę zabezpieczenia umowy. </w:t>
      </w:r>
    </w:p>
    <w:p w14:paraId="182A9EC2" w14:textId="77777777" w:rsidR="00EB05EE" w:rsidRPr="00C03489" w:rsidRDefault="00EB05EE" w:rsidP="00C0348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8"/>
        <w:ind w:left="426" w:hanging="426"/>
        <w:jc w:val="both"/>
        <w:rPr>
          <w:rFonts w:ascii="Arial Narrow" w:hAnsi="Arial Narrow" w:cs="Calibri"/>
          <w:color w:val="000000"/>
          <w:sz w:val="20"/>
          <w:szCs w:val="20"/>
        </w:rPr>
      </w:pPr>
      <w:r w:rsidRPr="00C03489">
        <w:rPr>
          <w:rFonts w:ascii="Arial Narrow" w:hAnsi="Arial Narrow" w:cs="Calibri"/>
          <w:color w:val="000000"/>
          <w:sz w:val="20"/>
          <w:szCs w:val="20"/>
        </w:rPr>
        <w:t xml:space="preserve">W razie braku wniesienia przez Beneficjenta pomocy zabezpieczenia w wymaganej formie i terminie Realizator projektu może, w drodze jednostronnego pisemnego oświadczenia, odstąpić od umowy. </w:t>
      </w:r>
    </w:p>
    <w:p w14:paraId="36194594" w14:textId="77777777" w:rsidR="00EB05EE" w:rsidRPr="00C03489" w:rsidRDefault="00EB05EE" w:rsidP="00C0348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8"/>
        <w:ind w:left="426" w:hanging="426"/>
        <w:jc w:val="both"/>
        <w:rPr>
          <w:rFonts w:ascii="Arial Narrow" w:hAnsi="Arial Narrow" w:cs="Calibri"/>
          <w:color w:val="000000"/>
          <w:sz w:val="20"/>
          <w:szCs w:val="20"/>
        </w:rPr>
      </w:pPr>
      <w:r w:rsidRPr="00C03489">
        <w:rPr>
          <w:rFonts w:ascii="Arial Narrow" w:hAnsi="Arial Narrow" w:cs="Calibri"/>
          <w:color w:val="000000"/>
          <w:sz w:val="20"/>
          <w:szCs w:val="20"/>
        </w:rPr>
        <w:t xml:space="preserve"> Zwrot zabezpieczenia następuje na pisemny wniosek Uczestnika projektu po całkowitym rozliczeniu przez niego otrzymanego wsparcia oraz po spełnieniu wymogu prowadzenia działalności gospodarczej przez okres 13 miesięcy od dnia jej rozpoczęcia. </w:t>
      </w:r>
    </w:p>
    <w:p w14:paraId="028F1516" w14:textId="77777777" w:rsidR="00EB05EE" w:rsidRPr="00C03489" w:rsidRDefault="00EB05EE" w:rsidP="00C0348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8"/>
        <w:ind w:left="426" w:hanging="426"/>
        <w:jc w:val="both"/>
        <w:rPr>
          <w:rFonts w:ascii="Arial Narrow" w:hAnsi="Arial Narrow" w:cs="Calibri"/>
          <w:color w:val="000000"/>
          <w:sz w:val="20"/>
          <w:szCs w:val="20"/>
        </w:rPr>
      </w:pPr>
      <w:r w:rsidRPr="00C03489">
        <w:rPr>
          <w:rFonts w:ascii="Arial Narrow" w:hAnsi="Arial Narrow" w:cs="Calibri"/>
          <w:color w:val="000000"/>
          <w:sz w:val="20"/>
          <w:szCs w:val="20"/>
        </w:rPr>
        <w:t xml:space="preserve">Wniesienie zabezpieczenia wymaga również załączenia </w:t>
      </w:r>
      <w:r w:rsidRPr="00C03489">
        <w:rPr>
          <w:rFonts w:ascii="Arial Narrow" w:hAnsi="Arial Narrow" w:cs="Calibri"/>
          <w:b/>
          <w:color w:val="000000"/>
          <w:sz w:val="20"/>
          <w:szCs w:val="20"/>
        </w:rPr>
        <w:t xml:space="preserve">oświadczenia małżonka o zgodzie na zaciągnięcie zobowiązania finansowanego/majątkowego </w:t>
      </w:r>
      <w:r w:rsidRPr="00C03489">
        <w:rPr>
          <w:rFonts w:ascii="Arial Narrow" w:hAnsi="Arial Narrow" w:cs="Calibri"/>
          <w:color w:val="000000"/>
          <w:sz w:val="20"/>
          <w:szCs w:val="20"/>
        </w:rPr>
        <w:t xml:space="preserve">(jeśli Uczestnik projektu pozostaje w ustroju wspólności majątkowej małżeńskiej), ewentualnie załączenia odpisu aktu notarialnego albo sądowego orzeczenia znoszącego małżeńską wspólność majątkową. Jeśli Uczestnik projektu nie pozostaje w związku małżeńskim składa oświadczenie o niepozostawaniu w związku małżeńskim. </w:t>
      </w:r>
    </w:p>
    <w:p w14:paraId="4628AA0F" w14:textId="77777777" w:rsidR="00C03489" w:rsidRDefault="00EB05EE" w:rsidP="00C0348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8"/>
        <w:ind w:left="426" w:hanging="426"/>
        <w:jc w:val="both"/>
        <w:rPr>
          <w:rFonts w:ascii="Arial Narrow" w:hAnsi="Arial Narrow" w:cs="Calibri"/>
          <w:b/>
          <w:color w:val="000000"/>
          <w:sz w:val="20"/>
          <w:szCs w:val="20"/>
          <w:u w:val="single"/>
        </w:rPr>
      </w:pPr>
      <w:r w:rsidRPr="00C03489">
        <w:rPr>
          <w:rFonts w:ascii="Arial Narrow" w:hAnsi="Arial Narrow" w:cs="Calibri"/>
          <w:b/>
          <w:color w:val="000000"/>
          <w:sz w:val="20"/>
          <w:szCs w:val="20"/>
          <w:u w:val="single"/>
        </w:rPr>
        <w:t xml:space="preserve">Weksel, Deklaracja wekslowa i Poręczenie wekslowe muszą być poświadczone notarialnie (podpis notarialnie poświadczony). </w:t>
      </w:r>
      <w:r w:rsidR="00734C82" w:rsidRPr="00C03489">
        <w:rPr>
          <w:rFonts w:ascii="Arial Narrow" w:hAnsi="Arial Narrow" w:cs="Calibri"/>
          <w:b/>
          <w:color w:val="000000"/>
          <w:sz w:val="20"/>
          <w:szCs w:val="20"/>
          <w:u w:val="single"/>
        </w:rPr>
        <w:t>Koszty notariusza pokrywa Uczestnik projektu. Nie są one zwracane ani refundowane w Projekcie.</w:t>
      </w:r>
    </w:p>
    <w:p w14:paraId="2110DCB7" w14:textId="77777777" w:rsidR="00EB05EE" w:rsidRPr="00C03489" w:rsidRDefault="00EB05EE" w:rsidP="00C0348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8"/>
        <w:ind w:left="426" w:hanging="426"/>
        <w:jc w:val="both"/>
        <w:rPr>
          <w:rFonts w:ascii="Arial Narrow" w:hAnsi="Arial Narrow" w:cs="Calibri"/>
          <w:color w:val="000000"/>
          <w:sz w:val="20"/>
          <w:szCs w:val="20"/>
        </w:rPr>
      </w:pPr>
      <w:r w:rsidRPr="00C03489">
        <w:rPr>
          <w:rFonts w:ascii="Arial Narrow" w:hAnsi="Arial Narrow" w:cs="Calibri"/>
          <w:color w:val="000000"/>
          <w:sz w:val="20"/>
          <w:szCs w:val="20"/>
        </w:rPr>
        <w:t xml:space="preserve">Wszelkie koszty związane z zabezpieczeniem umowy ponosi Beneficjent. </w:t>
      </w:r>
    </w:p>
    <w:p w14:paraId="1EF02C1A" w14:textId="60C1B4E5" w:rsidR="00734C82" w:rsidRPr="007C1D6C" w:rsidRDefault="00EB05EE" w:rsidP="00C0348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8"/>
        <w:ind w:left="426" w:hanging="426"/>
        <w:jc w:val="both"/>
        <w:rPr>
          <w:rFonts w:ascii="Arial Narrow" w:hAnsi="Arial Narrow" w:cs="Calibri"/>
          <w:color w:val="000000"/>
          <w:sz w:val="20"/>
          <w:szCs w:val="20"/>
        </w:rPr>
      </w:pPr>
      <w:r w:rsidRPr="00C03489">
        <w:rPr>
          <w:rFonts w:ascii="Arial Narrow" w:hAnsi="Arial Narrow" w:cs="Calibri"/>
          <w:color w:val="000000"/>
          <w:sz w:val="20"/>
          <w:szCs w:val="20"/>
        </w:rPr>
        <w:t>Wzór Weksla, wzór Deklaracji wekslowej oraz wzór Poręczenia wekslowego i oświadczeń są zamieszczone na stroni</w:t>
      </w:r>
      <w:r w:rsidR="007C1D6C">
        <w:rPr>
          <w:rFonts w:ascii="Arial Narrow" w:hAnsi="Arial Narrow" w:cs="Calibri"/>
          <w:color w:val="000000"/>
          <w:sz w:val="20"/>
          <w:szCs w:val="20"/>
        </w:rPr>
        <w:t xml:space="preserve">e </w:t>
      </w:r>
      <w:hyperlink r:id="rId8" w:history="1">
        <w:r w:rsidR="007C1D6C" w:rsidRPr="007C1D6C">
          <w:rPr>
            <w:rFonts w:ascii="Arial Narrow" w:eastAsia="Times New Roman" w:hAnsi="Arial Narrow" w:cs="Times New Roman"/>
            <w:color w:val="0000FF"/>
            <w:sz w:val="20"/>
            <w:szCs w:val="20"/>
            <w:u w:val="single"/>
            <w:lang w:eastAsia="pl-PL"/>
          </w:rPr>
          <w:t>http://hrp.com.pl/projekty/nowa-szansa-2/</w:t>
        </w:r>
      </w:hyperlink>
    </w:p>
    <w:p w14:paraId="02459ED8" w14:textId="77777777" w:rsidR="007C1D6C" w:rsidRPr="00C03489" w:rsidRDefault="007C1D6C" w:rsidP="007C1D6C">
      <w:pPr>
        <w:pStyle w:val="Akapitzlist"/>
        <w:autoSpaceDE w:val="0"/>
        <w:autoSpaceDN w:val="0"/>
        <w:adjustRightInd w:val="0"/>
        <w:spacing w:after="128"/>
        <w:ind w:left="426"/>
        <w:jc w:val="both"/>
        <w:rPr>
          <w:rFonts w:ascii="Arial Narrow" w:hAnsi="Arial Narrow" w:cs="Calibri"/>
          <w:color w:val="000000"/>
          <w:sz w:val="20"/>
          <w:szCs w:val="20"/>
        </w:rPr>
      </w:pPr>
      <w:bookmarkStart w:id="0" w:name="_GoBack"/>
      <w:bookmarkEnd w:id="0"/>
    </w:p>
    <w:p w14:paraId="7ED8B031" w14:textId="77777777" w:rsidR="00EB05EE" w:rsidRPr="00C03489" w:rsidRDefault="00EB05EE" w:rsidP="00C03489">
      <w:pPr>
        <w:autoSpaceDE w:val="0"/>
        <w:autoSpaceDN w:val="0"/>
        <w:adjustRightInd w:val="0"/>
        <w:jc w:val="both"/>
        <w:rPr>
          <w:rFonts w:ascii="Arial Narrow" w:eastAsiaTheme="minorHAnsi" w:hAnsi="Arial Narrow" w:cs="Calibri"/>
          <w:color w:val="000000"/>
          <w:sz w:val="20"/>
          <w:szCs w:val="20"/>
          <w:lang w:eastAsia="en-US"/>
        </w:rPr>
      </w:pPr>
    </w:p>
    <w:p w14:paraId="59EC4455" w14:textId="77777777" w:rsidR="00190979" w:rsidRPr="00C03489" w:rsidRDefault="00190979" w:rsidP="00C03489">
      <w:pPr>
        <w:pStyle w:val="Default"/>
        <w:jc w:val="both"/>
        <w:rPr>
          <w:rFonts w:ascii="Arial Narrow" w:hAnsi="Arial Narrow" w:cstheme="minorHAnsi"/>
          <w:b/>
          <w:bCs/>
        </w:rPr>
      </w:pPr>
    </w:p>
    <w:p w14:paraId="58064685" w14:textId="77777777" w:rsidR="008F1452" w:rsidRPr="00C03489" w:rsidRDefault="008F1452" w:rsidP="00C03489">
      <w:pPr>
        <w:jc w:val="both"/>
        <w:rPr>
          <w:rFonts w:ascii="Arial Narrow" w:hAnsi="Arial Narrow" w:cstheme="minorHAnsi"/>
        </w:rPr>
      </w:pPr>
    </w:p>
    <w:sectPr w:rsidR="008F1452" w:rsidRPr="00C03489" w:rsidSect="00EF4044">
      <w:headerReference w:type="default" r:id="rId9"/>
      <w:footerReference w:type="default" r:id="rId10"/>
      <w:pgSz w:w="11906" w:h="16838"/>
      <w:pgMar w:top="1417" w:right="1417" w:bottom="1417" w:left="1417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BF9EAA" w14:textId="77777777" w:rsidR="00237A56" w:rsidRDefault="00237A56" w:rsidP="00E077EC">
      <w:r>
        <w:separator/>
      </w:r>
    </w:p>
  </w:endnote>
  <w:endnote w:type="continuationSeparator" w:id="0">
    <w:p w14:paraId="5A5BACB2" w14:textId="77777777" w:rsidR="00237A56" w:rsidRDefault="00237A56" w:rsidP="00E07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0F37F" w14:textId="77777777" w:rsidR="00E077EC" w:rsidRPr="00E077EC" w:rsidRDefault="00E077EC" w:rsidP="005C1B84">
    <w:pPr>
      <w:pStyle w:val="Stopka"/>
    </w:pPr>
    <w:r>
      <w:rPr>
        <w:noProof/>
        <w:sz w:val="20"/>
        <w:lang w:eastAsia="pl-PL"/>
      </w:rPr>
      <w:drawing>
        <wp:inline distT="0" distB="0" distL="0" distR="0" wp14:anchorId="61B58F18" wp14:editId="0D3F7585">
          <wp:extent cx="828675" cy="390525"/>
          <wp:effectExtent l="0" t="0" r="9525" b="9525"/>
          <wp:docPr id="18" name="Obraz 18" descr="C:\Users\mozga\Pictures\HRP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mozga\Pictures\HRP-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C1B84">
      <w:tab/>
    </w:r>
    <w:r w:rsidR="005C1B84">
      <w:tab/>
    </w:r>
    <w:r w:rsidR="005C1B84">
      <w:rPr>
        <w:noProof/>
        <w:lang w:eastAsia="pl-PL"/>
      </w:rPr>
      <w:drawing>
        <wp:inline distT="0" distB="0" distL="0" distR="0" wp14:anchorId="568C3513" wp14:editId="5BDCF7DC">
          <wp:extent cx="2076450" cy="376100"/>
          <wp:effectExtent l="0" t="0" r="0" b="5080"/>
          <wp:docPr id="9239" name="Obraz 92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0875" cy="404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CC4DC3" w14:textId="77777777" w:rsidR="00237A56" w:rsidRDefault="00237A56" w:rsidP="00E077EC">
      <w:r>
        <w:separator/>
      </w:r>
    </w:p>
  </w:footnote>
  <w:footnote w:type="continuationSeparator" w:id="0">
    <w:p w14:paraId="75A2E5D6" w14:textId="77777777" w:rsidR="00237A56" w:rsidRDefault="00237A56" w:rsidP="00E077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22D44" w14:textId="77777777" w:rsidR="00E077EC" w:rsidRDefault="00E077EC">
    <w:pPr>
      <w:pStyle w:val="Nagwek"/>
    </w:pPr>
  </w:p>
  <w:p w14:paraId="0A8F62DF" w14:textId="77777777" w:rsidR="00394292" w:rsidRDefault="005C1B84">
    <w:pPr>
      <w:pStyle w:val="Nagwek"/>
    </w:pPr>
    <w:r>
      <w:rPr>
        <w:noProof/>
        <w:lang w:eastAsia="pl-PL"/>
      </w:rPr>
      <w:drawing>
        <wp:inline distT="0" distB="0" distL="0" distR="0" wp14:anchorId="5C31066E" wp14:editId="5FD0A0CC">
          <wp:extent cx="5760720" cy="622300"/>
          <wp:effectExtent l="0" t="0" r="0" b="6350"/>
          <wp:docPr id="9237" name="Obraz 923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D0BE55" w14:textId="77777777" w:rsidR="008F1452" w:rsidRDefault="008F14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425"/>
      </w:pPr>
      <w:rPr>
        <w:strike w:val="0"/>
        <w:dstrike w:val="0"/>
      </w:rPr>
    </w:lvl>
    <w:lvl w:ilvl="1">
      <w:start w:val="1"/>
      <w:numFmt w:val="lowerLetter"/>
      <w:lvlText w:val="%2)"/>
      <w:lvlJc w:val="left"/>
      <w:pPr>
        <w:tabs>
          <w:tab w:val="num" w:pos="1145"/>
        </w:tabs>
        <w:ind w:left="1145" w:hanging="425"/>
      </w:pPr>
    </w:lvl>
    <w:lvl w:ilvl="2">
      <w:start w:val="1"/>
      <w:numFmt w:val="decimal"/>
      <w:lvlText w:val="%3."/>
      <w:lvlJc w:val="left"/>
      <w:pPr>
        <w:tabs>
          <w:tab w:val="num" w:pos="1505"/>
        </w:tabs>
        <w:ind w:left="1505" w:hanging="425"/>
      </w:pPr>
      <w:rPr>
        <w:strike w:val="0"/>
        <w:dstrike w:val="0"/>
      </w:rPr>
    </w:lvl>
    <w:lvl w:ilvl="3">
      <w:start w:val="1"/>
      <w:numFmt w:val="decimal"/>
      <w:lvlText w:val="%4."/>
      <w:lvlJc w:val="left"/>
      <w:pPr>
        <w:tabs>
          <w:tab w:val="num" w:pos="1865"/>
        </w:tabs>
        <w:ind w:left="1865" w:hanging="425"/>
      </w:pPr>
      <w:rPr>
        <w:strike w:val="0"/>
        <w:dstrike w:val="0"/>
      </w:rPr>
    </w:lvl>
    <w:lvl w:ilvl="4">
      <w:start w:val="1"/>
      <w:numFmt w:val="decimal"/>
      <w:lvlText w:val="%5."/>
      <w:lvlJc w:val="left"/>
      <w:pPr>
        <w:tabs>
          <w:tab w:val="num" w:pos="2225"/>
        </w:tabs>
        <w:ind w:left="2225" w:hanging="425"/>
      </w:pPr>
      <w:rPr>
        <w:strike w:val="0"/>
        <w:dstrike w:val="0"/>
      </w:rPr>
    </w:lvl>
    <w:lvl w:ilvl="5">
      <w:start w:val="1"/>
      <w:numFmt w:val="decimal"/>
      <w:lvlText w:val="%6."/>
      <w:lvlJc w:val="left"/>
      <w:pPr>
        <w:tabs>
          <w:tab w:val="num" w:pos="2585"/>
        </w:tabs>
        <w:ind w:left="2585" w:hanging="425"/>
      </w:pPr>
      <w:rPr>
        <w:strike w:val="0"/>
        <w:dstrike w:val="0"/>
      </w:rPr>
    </w:lvl>
    <w:lvl w:ilvl="6">
      <w:start w:val="1"/>
      <w:numFmt w:val="decimal"/>
      <w:lvlText w:val="%7."/>
      <w:lvlJc w:val="left"/>
      <w:pPr>
        <w:tabs>
          <w:tab w:val="num" w:pos="2945"/>
        </w:tabs>
        <w:ind w:left="2945" w:hanging="425"/>
      </w:pPr>
      <w:rPr>
        <w:strike w:val="0"/>
        <w:dstrike w:val="0"/>
      </w:rPr>
    </w:lvl>
    <w:lvl w:ilvl="7">
      <w:start w:val="1"/>
      <w:numFmt w:val="decimal"/>
      <w:lvlText w:val="%8."/>
      <w:lvlJc w:val="left"/>
      <w:pPr>
        <w:tabs>
          <w:tab w:val="num" w:pos="3305"/>
        </w:tabs>
        <w:ind w:left="3305" w:hanging="425"/>
      </w:pPr>
      <w:rPr>
        <w:strike w:val="0"/>
        <w:dstrike w:val="0"/>
      </w:rPr>
    </w:lvl>
    <w:lvl w:ilvl="8">
      <w:start w:val="1"/>
      <w:numFmt w:val="decimal"/>
      <w:lvlText w:val="%9."/>
      <w:lvlJc w:val="left"/>
      <w:pPr>
        <w:tabs>
          <w:tab w:val="num" w:pos="3665"/>
        </w:tabs>
        <w:ind w:left="3665" w:hanging="425"/>
      </w:pPr>
      <w:rPr>
        <w:strike w:val="0"/>
        <w:dstrike w:val="0"/>
      </w:rPr>
    </w:lvl>
  </w:abstractNum>
  <w:abstractNum w:abstractNumId="1" w15:restartNumberingAfterBreak="0">
    <w:nsid w:val="01971C11"/>
    <w:multiLevelType w:val="hybridMultilevel"/>
    <w:tmpl w:val="DD70BE5C"/>
    <w:lvl w:ilvl="0" w:tplc="04150011">
      <w:start w:val="1"/>
      <w:numFmt w:val="decimal"/>
      <w:lvlText w:val="%1)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" w15:restartNumberingAfterBreak="0">
    <w:nsid w:val="1A712374"/>
    <w:multiLevelType w:val="hybridMultilevel"/>
    <w:tmpl w:val="BA6C7A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417082"/>
    <w:multiLevelType w:val="hybridMultilevel"/>
    <w:tmpl w:val="FE0CD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D46D75"/>
    <w:multiLevelType w:val="multilevel"/>
    <w:tmpl w:val="D4CAF7E0"/>
    <w:lvl w:ilvl="0">
      <w:start w:val="1"/>
      <w:numFmt w:val="decimal"/>
      <w:pStyle w:val="Ustp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B797F95"/>
    <w:multiLevelType w:val="hybridMultilevel"/>
    <w:tmpl w:val="AE94FE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E1D0E15"/>
    <w:multiLevelType w:val="hybridMultilevel"/>
    <w:tmpl w:val="85464656"/>
    <w:lvl w:ilvl="0" w:tplc="CBC84E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7EC"/>
    <w:rsid w:val="0001747F"/>
    <w:rsid w:val="00066C1F"/>
    <w:rsid w:val="00190979"/>
    <w:rsid w:val="001E3E9B"/>
    <w:rsid w:val="001F1C5D"/>
    <w:rsid w:val="00237A56"/>
    <w:rsid w:val="002B6E49"/>
    <w:rsid w:val="003E3A0F"/>
    <w:rsid w:val="003F46E9"/>
    <w:rsid w:val="004742FE"/>
    <w:rsid w:val="005268D3"/>
    <w:rsid w:val="005A6715"/>
    <w:rsid w:val="005C1B84"/>
    <w:rsid w:val="00615D76"/>
    <w:rsid w:val="0066688E"/>
    <w:rsid w:val="00734C82"/>
    <w:rsid w:val="00746691"/>
    <w:rsid w:val="0078631B"/>
    <w:rsid w:val="007C1D6C"/>
    <w:rsid w:val="007E0C8D"/>
    <w:rsid w:val="008F1452"/>
    <w:rsid w:val="008F4BC8"/>
    <w:rsid w:val="0098084B"/>
    <w:rsid w:val="00A2383D"/>
    <w:rsid w:val="00AC19FB"/>
    <w:rsid w:val="00B15956"/>
    <w:rsid w:val="00B77D1C"/>
    <w:rsid w:val="00C03489"/>
    <w:rsid w:val="00C26624"/>
    <w:rsid w:val="00C401B2"/>
    <w:rsid w:val="00C6523C"/>
    <w:rsid w:val="00E077EC"/>
    <w:rsid w:val="00EB05EE"/>
    <w:rsid w:val="00EF4044"/>
    <w:rsid w:val="00F1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825F30A"/>
  <w15:docId w15:val="{F69EBFF3-DB1C-4BD7-9850-F4608DD83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097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77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077EC"/>
  </w:style>
  <w:style w:type="paragraph" w:styleId="Stopka">
    <w:name w:val="footer"/>
    <w:basedOn w:val="Normalny"/>
    <w:link w:val="StopkaZnak"/>
    <w:uiPriority w:val="99"/>
    <w:unhideWhenUsed/>
    <w:rsid w:val="00E077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077EC"/>
  </w:style>
  <w:style w:type="paragraph" w:styleId="Tekstdymka">
    <w:name w:val="Balloon Text"/>
    <w:basedOn w:val="Normalny"/>
    <w:link w:val="TekstdymkaZnak"/>
    <w:uiPriority w:val="99"/>
    <w:semiHidden/>
    <w:unhideWhenUsed/>
    <w:rsid w:val="00E077E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7E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F145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Ustp">
    <w:name w:val="Ustęp"/>
    <w:basedOn w:val="Normalny"/>
    <w:rsid w:val="008F1452"/>
    <w:pPr>
      <w:widowControl w:val="0"/>
      <w:numPr>
        <w:numId w:val="2"/>
      </w:numPr>
      <w:tabs>
        <w:tab w:val="left" w:pos="56"/>
      </w:tabs>
      <w:suppressAutoHyphens/>
      <w:spacing w:after="113"/>
      <w:ind w:left="-369"/>
      <w:jc w:val="both"/>
    </w:pPr>
    <w:rPr>
      <w:rFonts w:eastAsia="Lucida Sans Unicode"/>
      <w:kern w:val="1"/>
      <w:sz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8F1452"/>
    <w:rPr>
      <w:color w:val="0563C1" w:themeColor="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8F14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8F14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3E3A0F"/>
    <w:pPr>
      <w:spacing w:after="0" w:line="240" w:lineRule="auto"/>
    </w:pPr>
    <w:rPr>
      <w:rFonts w:eastAsiaTheme="minorEastAsia"/>
      <w:lang w:eastAsia="pl-PL"/>
    </w:rPr>
  </w:style>
  <w:style w:type="paragraph" w:customStyle="1" w:styleId="Default">
    <w:name w:val="Default"/>
    <w:rsid w:val="001909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4C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4C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4C8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4C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4C82"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C1B8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32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rp.com.pl/projekty/nowa-szansa-2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726E9-87CD-494D-9281-738B22D75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402</Words>
  <Characters>2418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Stolarczyk</dc:creator>
  <cp:lastModifiedBy>Anna Jagiełło</cp:lastModifiedBy>
  <cp:revision>4</cp:revision>
  <dcterms:created xsi:type="dcterms:W3CDTF">2018-04-06T10:27:00Z</dcterms:created>
  <dcterms:modified xsi:type="dcterms:W3CDTF">2019-07-25T11:49:00Z</dcterms:modified>
</cp:coreProperties>
</file>